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580"/>
        <w:gridCol w:w="35"/>
      </w:tblGrid>
      <w:tr w:rsidR="00434F78" w:rsidRPr="009361B8" w:rsidTr="00334DBF">
        <w:trPr>
          <w:trHeight w:val="1085"/>
        </w:trPr>
        <w:tc>
          <w:tcPr>
            <w:tcW w:w="425" w:type="dxa"/>
            <w:shd w:val="clear" w:color="auto" w:fill="FFFFFF"/>
            <w:vAlign w:val="center"/>
          </w:tcPr>
          <w:tbl>
            <w:tblPr>
              <w:tblW w:w="2218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8"/>
            </w:tblGrid>
            <w:tr w:rsidR="00434F78" w:rsidRPr="00E7591B" w:rsidTr="00334DBF">
              <w:trPr>
                <w:trHeight w:val="46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F78" w:rsidRPr="00E7591B" w:rsidRDefault="00434F78" w:rsidP="00334DBF">
                  <w:pPr>
                    <w:snapToGrid w:val="0"/>
                    <w:spacing w:line="240" w:lineRule="auto"/>
                    <w:ind w:left="-136"/>
                  </w:pPr>
                </w:p>
              </w:tc>
            </w:tr>
          </w:tbl>
          <w:p w:rsidR="00434F78" w:rsidRDefault="00434F78" w:rsidP="00334DBF">
            <w:pPr>
              <w:snapToGrid w:val="0"/>
              <w:spacing w:line="240" w:lineRule="auto"/>
              <w:ind w:left="1"/>
              <w:jc w:val="both"/>
              <w:rPr>
                <w:rStyle w:val="a5"/>
                <w:rFonts w:eastAsia="Times New Roman" w:cs="Arial"/>
                <w:color w:val="385623"/>
                <w:szCs w:val="28"/>
                <w:lang w:val="ru-RU" w:eastAsia="hi-IN" w:bidi="hi-IN"/>
              </w:rPr>
            </w:pPr>
          </w:p>
          <w:p w:rsidR="00434F78" w:rsidRPr="00792CE8" w:rsidRDefault="00434F78" w:rsidP="00334DBF">
            <w:pPr>
              <w:snapToGrid w:val="0"/>
              <w:spacing w:line="240" w:lineRule="auto"/>
              <w:ind w:left="1"/>
              <w:jc w:val="both"/>
            </w:pPr>
          </w:p>
        </w:tc>
        <w:tc>
          <w:tcPr>
            <w:tcW w:w="9580" w:type="dxa"/>
            <w:shd w:val="clear" w:color="auto" w:fill="FFFFFF"/>
            <w:vAlign w:val="center"/>
          </w:tcPr>
          <w:tbl>
            <w:tblPr>
              <w:tblStyle w:val="a3"/>
              <w:tblW w:w="9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6647"/>
            </w:tblGrid>
            <w:tr w:rsidR="00434F78" w:rsidRPr="009361B8" w:rsidTr="00334DBF">
              <w:trPr>
                <w:trHeight w:val="1979"/>
              </w:trPr>
              <w:tc>
                <w:tcPr>
                  <w:tcW w:w="3047" w:type="dxa"/>
                </w:tcPr>
                <w:p w:rsidR="00434F78" w:rsidRPr="007832DC" w:rsidRDefault="00434F78" w:rsidP="007832DC">
                  <w:pPr>
                    <w:snapToGrid w:val="0"/>
                    <w:ind w:left="1"/>
                    <w:jc w:val="both"/>
                    <w:rPr>
                      <w:rFonts w:eastAsia="Times New Roman" w:cs="Arial"/>
                      <w:color w:val="385623"/>
                      <w:szCs w:val="28"/>
                      <w:u w:val="single"/>
                      <w:lang w:val="ru-RU" w:eastAsia="hi-IN" w:bidi="hi-IN"/>
                    </w:rPr>
                  </w:pPr>
                  <w:r w:rsidRPr="00CC075F">
                    <w:rPr>
                      <w:noProof/>
                    </w:rPr>
                    <w:drawing>
                      <wp:inline distT="0" distB="0" distL="0" distR="0" wp14:anchorId="3ED9611A" wp14:editId="346EF46B">
                        <wp:extent cx="1555115" cy="889000"/>
                        <wp:effectExtent l="0" t="0" r="0" b="0"/>
                        <wp:docPr id="2" name="Рисунок 2" descr="лого право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право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115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" w:history="1">
                    <w:r w:rsidRPr="007835C0">
                      <w:rPr>
                        <w:rStyle w:val="a5"/>
                        <w:rFonts w:eastAsia="Times New Roman" w:cs="Arial"/>
                        <w:color w:val="385623"/>
                        <w:szCs w:val="28"/>
                        <w:lang w:val="ru-RU" w:eastAsia="hi-IN" w:bidi="hi-IN"/>
                      </w:rPr>
                      <w:t>http://kongress.lekpravo.ru</w:t>
                    </w:r>
                  </w:hyperlink>
                </w:p>
              </w:tc>
              <w:tc>
                <w:tcPr>
                  <w:tcW w:w="6647" w:type="dxa"/>
                </w:tcPr>
                <w:p w:rsidR="00434F78" w:rsidRPr="00DC0399" w:rsidRDefault="00434F78" w:rsidP="00334DBF">
                  <w:pPr>
                    <w:snapToGrid w:val="0"/>
                    <w:jc w:val="center"/>
                    <w:rPr>
                      <w:b/>
                      <w:color w:val="0070C0"/>
                      <w:lang w:val="ru-RU"/>
                    </w:rPr>
                  </w:pPr>
                  <w:r>
                    <w:rPr>
                      <w:b/>
                      <w:color w:val="0070C0"/>
                    </w:rPr>
                    <w:t>XI</w:t>
                  </w:r>
                  <w:r w:rsidRPr="00434F78">
                    <w:rPr>
                      <w:b/>
                      <w:color w:val="0070C0"/>
                      <w:lang w:val="ru-RU"/>
                    </w:rPr>
                    <w:t>-</w:t>
                  </w:r>
                  <w:r>
                    <w:rPr>
                      <w:b/>
                      <w:color w:val="0070C0"/>
                      <w:lang w:val="ru-RU"/>
                    </w:rPr>
                    <w:t>й</w:t>
                  </w:r>
                  <w:r w:rsidRPr="00DC0399">
                    <w:rPr>
                      <w:b/>
                      <w:color w:val="0070C0"/>
                      <w:lang w:val="ru-RU"/>
                    </w:rPr>
                    <w:t xml:space="preserve"> ВСЕРОССИЙСКИЙ КОНГРЕСС «ПРАВО НА ЛЕКАРСТВО»</w:t>
                  </w:r>
                </w:p>
                <w:p w:rsidR="00434F78" w:rsidRPr="00DC0399" w:rsidRDefault="00D61DF0" w:rsidP="00334DB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06</w:t>
                  </w:r>
                  <w:r w:rsidR="00434F78" w:rsidRPr="00DC0399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 xml:space="preserve"> </w:t>
                  </w:r>
                  <w:r w:rsidR="00434F78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ноября</w:t>
                  </w:r>
                  <w:r w:rsidR="00434F78" w:rsidRPr="00DC0399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20</w:t>
                  </w:r>
                  <w:r w:rsidR="00434F78" w:rsidRPr="00DC0399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, БОРОДИНО-ХОЛЛ,</w:t>
                  </w:r>
                </w:p>
                <w:p w:rsidR="00434F78" w:rsidRDefault="00434F78" w:rsidP="00334DBF">
                  <w:pPr>
                    <w:snapToGrid w:val="0"/>
                    <w:jc w:val="center"/>
                    <w:rPr>
                      <w:b/>
                      <w:color w:val="0070C0"/>
                      <w:lang w:val="ru-RU"/>
                    </w:rPr>
                  </w:pPr>
                  <w:r w:rsidRPr="00DC0399">
                    <w:rPr>
                      <w:rStyle w:val="a4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Адрес: г. Москва,</w:t>
                  </w:r>
                  <w:r w:rsidRPr="00B41B5A">
                    <w:rPr>
                      <w:rStyle w:val="a4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</w:rPr>
                    <w:t> </w:t>
                  </w:r>
                  <w:r w:rsidRPr="00DC0399">
                    <w:rPr>
                      <w:rStyle w:val="a4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ул. Русаковская, дом 13, строение 5,</w:t>
                  </w:r>
                  <w:r w:rsidRPr="00B41B5A">
                    <w:rPr>
                      <w:rStyle w:val="a4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</w:rPr>
                    <w:t> </w:t>
                  </w:r>
                  <w:r w:rsidRPr="00DC0399">
                    <w:rPr>
                      <w:rStyle w:val="a4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КОНЦЕРТНЫЙ ЗАЛ "БОРОДИНО-ХОЛЛ"</w:t>
                  </w:r>
                </w:p>
              </w:tc>
            </w:tr>
          </w:tbl>
          <w:p w:rsidR="00434F78" w:rsidRPr="00C06F2E" w:rsidRDefault="00434F78" w:rsidP="00334DB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aps/>
                <w:color w:val="0070C0"/>
                <w:kern w:val="2"/>
                <w:lang w:val="ru-RU"/>
              </w:rPr>
            </w:pPr>
          </w:p>
        </w:tc>
        <w:tc>
          <w:tcPr>
            <w:tcW w:w="35" w:type="dxa"/>
            <w:shd w:val="clear" w:color="auto" w:fill="FFFFFF"/>
            <w:vAlign w:val="center"/>
          </w:tcPr>
          <w:p w:rsidR="00434F78" w:rsidRPr="00DC0399" w:rsidRDefault="00434F78" w:rsidP="00334DBF">
            <w:pPr>
              <w:snapToGrid w:val="0"/>
              <w:spacing w:line="240" w:lineRule="auto"/>
              <w:ind w:left="567"/>
              <w:jc w:val="both"/>
              <w:rPr>
                <w:rFonts w:eastAsia="Times New Roman" w:cs="Arial"/>
                <w:b/>
                <w:color w:val="0000FF"/>
                <w:sz w:val="28"/>
                <w:szCs w:val="28"/>
                <w:lang w:val="ru-RU"/>
              </w:rPr>
            </w:pPr>
          </w:p>
        </w:tc>
      </w:tr>
    </w:tbl>
    <w:p w:rsidR="00434F78" w:rsidRDefault="00434F78" w:rsidP="00434F78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A4554">
        <w:rPr>
          <w:rFonts w:ascii="Times New Roman" w:hAnsi="Times New Roman" w:cs="Times New Roman"/>
          <w:b/>
          <w:bCs/>
          <w:sz w:val="24"/>
          <w:lang w:val="ru-RU"/>
        </w:rPr>
        <w:t>РЕЗОЛЮЦИЯ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bookmarkStart w:id="0" w:name="_GoBack"/>
      <w:bookmarkEnd w:id="0"/>
    </w:p>
    <w:p w:rsidR="00434F78" w:rsidRDefault="00434F78" w:rsidP="0043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Участники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Х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434F78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Всероссийск</w:t>
      </w:r>
      <w:r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конгресс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«Право на лекарство»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 тревогой отмечают ухудшение лекарственного обеспечения в России в связи со вспышкой заболевания </w:t>
      </w:r>
      <w:r>
        <w:rPr>
          <w:rFonts w:ascii="Times New Roman" w:hAnsi="Times New Roman" w:cs="Times New Roman"/>
          <w:sz w:val="26"/>
          <w:szCs w:val="26"/>
        </w:rPr>
        <w:t>COVID</w:t>
      </w:r>
      <w:r w:rsidRPr="00434F78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>19,</w:t>
      </w:r>
      <w:r w:rsidR="00183A0D">
        <w:rPr>
          <w:rFonts w:ascii="Times New Roman" w:hAnsi="Times New Roman" w:cs="Times New Roman"/>
          <w:sz w:val="26"/>
          <w:szCs w:val="26"/>
          <w:lang w:val="ru-RU"/>
        </w:rPr>
        <w:t xml:space="preserve"> созданной паникой,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неподготовленностью системы маркировки и ее введения, </w:t>
      </w:r>
      <w:r w:rsidR="00183A0D">
        <w:rPr>
          <w:rFonts w:ascii="Times New Roman" w:hAnsi="Times New Roman" w:cs="Times New Roman"/>
          <w:sz w:val="26"/>
          <w:szCs w:val="26"/>
          <w:lang w:val="ru-RU"/>
        </w:rPr>
        <w:t xml:space="preserve">подорожанием сырья </w:t>
      </w:r>
      <w:r w:rsidR="00D61DF0">
        <w:rPr>
          <w:rFonts w:ascii="Times New Roman" w:hAnsi="Times New Roman" w:cs="Times New Roman"/>
          <w:sz w:val="26"/>
          <w:szCs w:val="26"/>
          <w:lang w:val="ru-RU"/>
        </w:rPr>
        <w:t xml:space="preserve">и самих лекарств </w:t>
      </w:r>
      <w:r w:rsidR="00183A0D">
        <w:rPr>
          <w:rFonts w:ascii="Times New Roman" w:hAnsi="Times New Roman" w:cs="Times New Roman"/>
          <w:sz w:val="26"/>
          <w:szCs w:val="26"/>
          <w:lang w:val="ru-RU"/>
        </w:rPr>
        <w:t xml:space="preserve">из-за увеличения курса доллара, исключением из ГРЛС сотен лекарств (только за сентябрь 17), и все это </w:t>
      </w:r>
      <w:proofErr w:type="spellStart"/>
      <w:r w:rsidR="00183A0D">
        <w:rPr>
          <w:rFonts w:ascii="Times New Roman" w:hAnsi="Times New Roman" w:cs="Times New Roman"/>
          <w:sz w:val="26"/>
          <w:szCs w:val="26"/>
          <w:lang w:val="ru-RU"/>
        </w:rPr>
        <w:t>наложилось</w:t>
      </w:r>
      <w:proofErr w:type="spellEnd"/>
      <w:r w:rsidR="00183A0D">
        <w:rPr>
          <w:rFonts w:ascii="Times New Roman" w:hAnsi="Times New Roman" w:cs="Times New Roman"/>
          <w:sz w:val="26"/>
          <w:szCs w:val="26"/>
          <w:lang w:val="ru-RU"/>
        </w:rPr>
        <w:t xml:space="preserve"> на текущие проблемы лекарственного обеспечения.</w:t>
      </w:r>
    </w:p>
    <w:p w:rsidR="00183A0D" w:rsidRDefault="00183A0D" w:rsidP="0043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этой связи конгресс поддерживает позицию Межфракционной депутатской группы по лекарственному обеспечению ГД РФ о переносе </w:t>
      </w:r>
      <w:r w:rsidR="00D61DF0">
        <w:rPr>
          <w:rFonts w:ascii="Times New Roman" w:hAnsi="Times New Roman" w:cs="Times New Roman"/>
          <w:sz w:val="26"/>
          <w:szCs w:val="26"/>
          <w:lang w:val="ru-RU"/>
        </w:rPr>
        <w:t xml:space="preserve">обязательного применения </w:t>
      </w:r>
      <w:r>
        <w:rPr>
          <w:rFonts w:ascii="Times New Roman" w:hAnsi="Times New Roman" w:cs="Times New Roman"/>
          <w:sz w:val="26"/>
          <w:szCs w:val="26"/>
          <w:lang w:val="ru-RU"/>
        </w:rPr>
        <w:t>маркировки.</w:t>
      </w:r>
      <w:r w:rsidR="00D61DF0">
        <w:rPr>
          <w:rFonts w:ascii="Times New Roman" w:hAnsi="Times New Roman" w:cs="Times New Roman"/>
          <w:sz w:val="26"/>
          <w:szCs w:val="26"/>
          <w:lang w:val="ru-RU"/>
        </w:rPr>
        <w:t xml:space="preserve"> Конгресс отмечает, что негативные последствия и риски этого проекта в целом перевешивают положительные. Он может быть реализован позитивно только при идеальном техническом исполнении, что практически невозможно в силу многозадачности.</w:t>
      </w:r>
    </w:p>
    <w:p w:rsidR="00183A0D" w:rsidRDefault="00183A0D" w:rsidP="0043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Конгресс также приветствует решение Правительства РФ о создании Центра планирования и организации лекарственного обеспечения граждан</w:t>
      </w:r>
      <w:r w:rsidR="00F61AFB">
        <w:rPr>
          <w:rFonts w:ascii="Times New Roman" w:hAnsi="Times New Roman" w:cs="Times New Roman"/>
          <w:sz w:val="26"/>
          <w:szCs w:val="26"/>
          <w:lang w:val="ru-RU"/>
        </w:rPr>
        <w:t xml:space="preserve"> при Минздраве РФ.</w:t>
      </w:r>
      <w:r w:rsidR="00D61DF0">
        <w:rPr>
          <w:rFonts w:ascii="Times New Roman" w:hAnsi="Times New Roman" w:cs="Times New Roman"/>
          <w:sz w:val="26"/>
          <w:szCs w:val="26"/>
          <w:lang w:val="ru-RU"/>
        </w:rPr>
        <w:t xml:space="preserve"> Это решение отражает решение прежних конгрессов, и является будущим ядром системы лекарственного обеспечения. Данное институциональное решение должно сопровождаться созданием методологии планирования на основании выявления потребностей населения, а не только </w:t>
      </w:r>
      <w:r w:rsidR="00522E31">
        <w:rPr>
          <w:rFonts w:ascii="Times New Roman" w:hAnsi="Times New Roman" w:cs="Times New Roman"/>
          <w:sz w:val="26"/>
          <w:szCs w:val="26"/>
          <w:lang w:val="ru-RU"/>
        </w:rPr>
        <w:t xml:space="preserve">механизма </w:t>
      </w:r>
      <w:r w:rsidR="00D61DF0">
        <w:rPr>
          <w:rFonts w:ascii="Times New Roman" w:hAnsi="Times New Roman" w:cs="Times New Roman"/>
          <w:sz w:val="26"/>
          <w:szCs w:val="26"/>
          <w:lang w:val="ru-RU"/>
        </w:rPr>
        <w:t>закупок.</w:t>
      </w:r>
    </w:p>
    <w:p w:rsidR="00434F78" w:rsidRDefault="00D61DF0" w:rsidP="0078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Конгресс обеспокоен решением Межфракционной депутатской группы по лекарственному обеспечению ГД РФ</w:t>
      </w:r>
      <w:r w:rsidR="007832DC">
        <w:rPr>
          <w:rFonts w:ascii="Times New Roman" w:hAnsi="Times New Roman" w:cs="Times New Roman"/>
          <w:sz w:val="26"/>
          <w:szCs w:val="26"/>
          <w:lang w:val="ru-RU"/>
        </w:rPr>
        <w:t xml:space="preserve"> создать новое законодательство о закупках, игнорируя основную задачу по обеспечению. Такой подход сохраняет все риски неуправляемого срыва закупок и оставления пациентов без лекарств. Конгресс отмечает, что сам по себе механизм закупок не может решить задачу обеспечения, поскольку лишен задачи по выявлению потребности и заключения контрактов на поставку лекарств под выявленные потребности. Такой механизм позволил бы планировать деятельность по лекарственному обеспечению,</w:t>
      </w:r>
      <w:r w:rsidR="00522E31">
        <w:rPr>
          <w:rFonts w:ascii="Times New Roman" w:hAnsi="Times New Roman" w:cs="Times New Roman"/>
          <w:sz w:val="26"/>
          <w:szCs w:val="26"/>
          <w:lang w:val="ru-RU"/>
        </w:rPr>
        <w:t xml:space="preserve"> существенно снизив цены на лекарства из-за крупного опта, </w:t>
      </w:r>
      <w:r w:rsidR="007832DC">
        <w:rPr>
          <w:rFonts w:ascii="Times New Roman" w:hAnsi="Times New Roman" w:cs="Times New Roman"/>
          <w:sz w:val="26"/>
          <w:szCs w:val="26"/>
          <w:lang w:val="ru-RU"/>
        </w:rPr>
        <w:t>что стало бы одним из механизмов работы нового Центр</w:t>
      </w:r>
      <w:r w:rsidR="00522E3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832D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22E31" w:rsidRDefault="007832DC" w:rsidP="0052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Паника, созданная во время вспышки </w:t>
      </w:r>
      <w:r>
        <w:rPr>
          <w:rFonts w:ascii="Times New Roman" w:hAnsi="Times New Roman" w:cs="Times New Roman"/>
          <w:sz w:val="26"/>
          <w:szCs w:val="26"/>
        </w:rPr>
        <w:t>COVID</w:t>
      </w:r>
      <w:r>
        <w:rPr>
          <w:rFonts w:ascii="Times New Roman" w:hAnsi="Times New Roman" w:cs="Times New Roman"/>
          <w:sz w:val="26"/>
          <w:szCs w:val="26"/>
          <w:lang w:val="ru-RU"/>
        </w:rPr>
        <w:t>-19</w:t>
      </w:r>
      <w:r w:rsidR="001629BE">
        <w:rPr>
          <w:rFonts w:ascii="Times New Roman" w:hAnsi="Times New Roman" w:cs="Times New Roman"/>
          <w:sz w:val="26"/>
          <w:szCs w:val="26"/>
          <w:lang w:val="ru-RU"/>
        </w:rPr>
        <w:t xml:space="preserve">, привела к перегрузке системы здравоохранения, вызвала ошибки управления и привела к дополнительным смертям, причиной которых стал не столько новый вирус, сколько ошибки сортировки и терапии, массовая изоляция и самоизоляция, психические травмы, обязательное ношение масок даже теми, кому они противопоказаны, невозможность получить медицинскую помощь по не связанным с </w:t>
      </w:r>
      <w:r w:rsidR="001629BE">
        <w:rPr>
          <w:rFonts w:ascii="Times New Roman" w:hAnsi="Times New Roman" w:cs="Times New Roman"/>
          <w:sz w:val="26"/>
          <w:szCs w:val="26"/>
        </w:rPr>
        <w:t>COVID</w:t>
      </w:r>
      <w:r w:rsidR="001629BE" w:rsidRPr="001629BE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1629BE">
        <w:rPr>
          <w:rFonts w:ascii="Times New Roman" w:hAnsi="Times New Roman" w:cs="Times New Roman"/>
          <w:sz w:val="26"/>
          <w:szCs w:val="26"/>
          <w:lang w:val="ru-RU"/>
        </w:rPr>
        <w:t xml:space="preserve">19 заболеваниям. </w:t>
      </w:r>
      <w:r w:rsidR="00522E31">
        <w:rPr>
          <w:rFonts w:ascii="Times New Roman" w:hAnsi="Times New Roman" w:cs="Times New Roman"/>
          <w:sz w:val="26"/>
          <w:szCs w:val="26"/>
          <w:lang w:val="ru-RU"/>
        </w:rPr>
        <w:t xml:space="preserve">События этого года указывают, что необходима централизация обеспечения, и наличие </w:t>
      </w:r>
      <w:r w:rsidR="00A60E91">
        <w:rPr>
          <w:rFonts w:ascii="Times New Roman" w:hAnsi="Times New Roman" w:cs="Times New Roman"/>
          <w:sz w:val="26"/>
          <w:szCs w:val="26"/>
          <w:lang w:val="ru-RU"/>
        </w:rPr>
        <w:t>резерва у всей медицины</w:t>
      </w:r>
      <w:r w:rsidR="00522E31">
        <w:rPr>
          <w:rFonts w:ascii="Times New Roman" w:hAnsi="Times New Roman" w:cs="Times New Roman"/>
          <w:sz w:val="26"/>
          <w:szCs w:val="26"/>
          <w:lang w:val="ru-RU"/>
        </w:rPr>
        <w:t xml:space="preserve"> на случай чрезвычайных ситуаций.</w:t>
      </w:r>
    </w:p>
    <w:p w:rsidR="001629BE" w:rsidRPr="001629BE" w:rsidRDefault="001629BE" w:rsidP="0078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тоже время государство недостаточно использовало дистанционные формы лекарственного обеспечения, в связи с чем следует принять единый порядок, направленный на решение этой проблемы.</w:t>
      </w:r>
    </w:p>
    <w:p w:rsidR="00545665" w:rsidRPr="00434F78" w:rsidRDefault="009361B8">
      <w:pPr>
        <w:rPr>
          <w:lang w:val="ru-RU"/>
        </w:rPr>
      </w:pPr>
    </w:p>
    <w:sectPr w:rsidR="00545665" w:rsidRPr="00434F78" w:rsidSect="00F126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8"/>
    <w:rsid w:val="001629BE"/>
    <w:rsid w:val="00183A0D"/>
    <w:rsid w:val="00434F78"/>
    <w:rsid w:val="00522E31"/>
    <w:rsid w:val="007832DC"/>
    <w:rsid w:val="009361B8"/>
    <w:rsid w:val="00A60E91"/>
    <w:rsid w:val="00AC1A17"/>
    <w:rsid w:val="00D61DF0"/>
    <w:rsid w:val="00DC1DFD"/>
    <w:rsid w:val="00E20EBE"/>
    <w:rsid w:val="00F12689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41C42"/>
  <w15:chartTrackingRefBased/>
  <w15:docId w15:val="{85DE1B29-2022-0D40-8DFA-0D2F6D2B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F78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F7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34F78"/>
    <w:rPr>
      <w:b/>
      <w:bCs/>
    </w:rPr>
  </w:style>
  <w:style w:type="character" w:styleId="a5">
    <w:name w:val="Hyperlink"/>
    <w:rsid w:val="00434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gress.lekpra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Александр Саверский</cp:lastModifiedBy>
  <cp:revision>2</cp:revision>
  <dcterms:created xsi:type="dcterms:W3CDTF">2020-11-04T11:57:00Z</dcterms:created>
  <dcterms:modified xsi:type="dcterms:W3CDTF">2021-01-01T17:33:00Z</dcterms:modified>
</cp:coreProperties>
</file>