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02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6946"/>
        <w:gridCol w:w="21"/>
      </w:tblGrid>
      <w:tr w:rsidR="00461B6B" w:rsidRPr="00461B6B" w:rsidTr="00461B6B">
        <w:trPr>
          <w:trHeight w:val="2044"/>
        </w:trPr>
        <w:tc>
          <w:tcPr>
            <w:tcW w:w="2835" w:type="dxa"/>
            <w:shd w:val="clear" w:color="auto" w:fill="FFFFFF"/>
            <w:vAlign w:val="center"/>
          </w:tcPr>
          <w:tbl>
            <w:tblPr>
              <w:tblW w:w="2390" w:type="dxa"/>
              <w:tblInd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90"/>
            </w:tblGrid>
            <w:tr w:rsidR="00461B6B" w:rsidRPr="00461B6B" w:rsidTr="00461B6B">
              <w:trPr>
                <w:trHeight w:val="1963"/>
              </w:trPr>
              <w:tc>
                <w:tcPr>
                  <w:tcW w:w="23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61B6B" w:rsidRPr="00461B6B" w:rsidRDefault="00461B6B" w:rsidP="00461B6B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Arial" w:eastAsia="SimSun" w:hAnsi="Arial" w:cs="Mangal"/>
                      <w:kern w:val="1"/>
                      <w:szCs w:val="24"/>
                      <w:lang w:eastAsia="hi-IN" w:bidi="hi-IN"/>
                    </w:rPr>
                  </w:pPr>
                </w:p>
                <w:p w:rsidR="00461B6B" w:rsidRPr="00461B6B" w:rsidRDefault="00461B6B" w:rsidP="00461B6B">
                  <w:pPr>
                    <w:suppressAutoHyphens/>
                    <w:snapToGrid w:val="0"/>
                    <w:spacing w:after="0" w:line="240" w:lineRule="auto"/>
                    <w:rPr>
                      <w:rFonts w:ascii="Arial" w:eastAsia="SimSun" w:hAnsi="Arial" w:cs="Mangal"/>
                      <w:kern w:val="1"/>
                      <w:szCs w:val="24"/>
                      <w:lang w:eastAsia="hi-IN" w:bidi="hi-IN"/>
                    </w:rPr>
                  </w:pPr>
                  <w:r w:rsidRPr="00461B6B">
                    <w:rPr>
                      <w:rFonts w:ascii="Arial" w:eastAsia="SimSun" w:hAnsi="Arial" w:cs="Mangal"/>
                      <w:noProof/>
                      <w:kern w:val="1"/>
                      <w:szCs w:val="24"/>
                      <w:lang w:eastAsia="hi-IN" w:bidi="hi-IN"/>
                    </w:rPr>
                    <w:drawing>
                      <wp:inline distT="0" distB="0" distL="0" distR="0">
                        <wp:extent cx="1562100" cy="885825"/>
                        <wp:effectExtent l="0" t="0" r="0" b="9525"/>
                        <wp:docPr id="1" name="Рисунок 1" descr="лого право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лого право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62100" cy="885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61B6B" w:rsidRPr="00461B6B" w:rsidRDefault="00461B6B" w:rsidP="00461B6B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SimSun" w:hAnsi="Arial" w:cs="Mangal"/>
                <w:kern w:val="1"/>
                <w:szCs w:val="24"/>
                <w:lang w:eastAsia="hi-IN" w:bidi="hi-IN"/>
              </w:rPr>
            </w:pPr>
          </w:p>
        </w:tc>
        <w:tc>
          <w:tcPr>
            <w:tcW w:w="6946" w:type="dxa"/>
            <w:shd w:val="clear" w:color="auto" w:fill="FFFFFF"/>
            <w:vAlign w:val="center"/>
          </w:tcPr>
          <w:p w:rsidR="00461B6B" w:rsidRPr="00461B6B" w:rsidRDefault="00461B6B" w:rsidP="00461B6B">
            <w:pPr>
              <w:suppressAutoHyphens/>
              <w:snapToGrid w:val="0"/>
              <w:spacing w:after="0" w:line="240" w:lineRule="auto"/>
              <w:rPr>
                <w:rFonts w:ascii="Arial" w:eastAsia="SimSun" w:hAnsi="Arial" w:cs="Mangal"/>
                <w:b/>
                <w:color w:val="0070C0"/>
                <w:kern w:val="1"/>
                <w:szCs w:val="24"/>
                <w:lang w:eastAsia="hi-IN" w:bidi="hi-IN"/>
              </w:rPr>
            </w:pPr>
            <w:r w:rsidRPr="00461B6B">
              <w:rPr>
                <w:rFonts w:ascii="Arial" w:eastAsia="SimSun" w:hAnsi="Arial" w:cs="Mangal"/>
                <w:b/>
                <w:color w:val="0070C0"/>
                <w:kern w:val="1"/>
                <w:szCs w:val="24"/>
                <w:lang w:val="en-US" w:eastAsia="hi-IN" w:bidi="hi-IN"/>
              </w:rPr>
              <w:t>VII</w:t>
            </w:r>
            <w:r w:rsidRPr="00461B6B">
              <w:rPr>
                <w:rFonts w:ascii="Arial" w:eastAsia="SimSun" w:hAnsi="Arial" w:cs="Mangal"/>
                <w:b/>
                <w:color w:val="0070C0"/>
                <w:kern w:val="1"/>
                <w:szCs w:val="24"/>
                <w:lang w:eastAsia="hi-IN" w:bidi="hi-IN"/>
              </w:rPr>
              <w:t xml:space="preserve"> ВСЕРОССИЙСКИЙ КОНГРЕСС «ПРАВО НА ЛЕКАРСТВО»</w:t>
            </w:r>
          </w:p>
          <w:p w:rsidR="00461B6B" w:rsidRPr="00461B6B" w:rsidRDefault="00461B6B" w:rsidP="00461B6B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Mangal"/>
                <w:b/>
                <w:color w:val="0070C0"/>
                <w:kern w:val="1"/>
                <w:szCs w:val="24"/>
                <w:lang w:eastAsia="hi-IN" w:bidi="hi-IN"/>
              </w:rPr>
            </w:pPr>
          </w:p>
          <w:p w:rsidR="00461B6B" w:rsidRPr="00461B6B" w:rsidRDefault="00461B6B" w:rsidP="00461B6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0070C0"/>
                <w:kern w:val="1"/>
                <w:lang w:eastAsia="hi-IN" w:bidi="hi-IN"/>
              </w:rPr>
            </w:pPr>
            <w:r w:rsidRPr="00461B6B">
              <w:rPr>
                <w:rFonts w:ascii="Times New Roman" w:eastAsia="SimSun" w:hAnsi="Times New Roman" w:cs="Times New Roman"/>
                <w:b/>
                <w:color w:val="0070C0"/>
                <w:kern w:val="1"/>
                <w:lang w:eastAsia="hi-IN" w:bidi="hi-IN"/>
              </w:rPr>
              <w:t>17 мая 2018, 9:30, БОРОДИНО-ХОЛЛ,</w:t>
            </w:r>
          </w:p>
          <w:p w:rsidR="00461B6B" w:rsidRPr="00461B6B" w:rsidRDefault="00EC0133" w:rsidP="00461B6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aps/>
                <w:color w:val="0070C0"/>
                <w:kern w:val="2"/>
                <w:lang w:eastAsia="hi-IN" w:bidi="hi-IN"/>
              </w:rPr>
            </w:pPr>
            <w:hyperlink r:id="rId5" w:anchor="mctmp" w:history="1">
              <w:r w:rsidR="00461B6B" w:rsidRPr="00461B6B">
                <w:rPr>
                  <w:rFonts w:ascii="Times New Roman" w:eastAsia="SimSun" w:hAnsi="Times New Roman" w:cs="Times New Roman"/>
                  <w:b/>
                  <w:bCs/>
                  <w:caps/>
                  <w:color w:val="0070C0"/>
                  <w:kern w:val="2"/>
                  <w:shd w:val="clear" w:color="auto" w:fill="FFFFFF"/>
                  <w:lang w:eastAsia="hi-IN" w:bidi="hi-IN"/>
                </w:rPr>
                <w:t>Адрес: г. Москва, ул. Русаковская, дом 13, строение 5, </w:t>
              </w:r>
            </w:hyperlink>
            <w:hyperlink r:id="rId6" w:anchor="mctmp" w:history="1">
              <w:r w:rsidR="00461B6B" w:rsidRPr="00461B6B">
                <w:rPr>
                  <w:rFonts w:ascii="Times New Roman" w:eastAsia="SimSun" w:hAnsi="Times New Roman" w:cs="Times New Roman"/>
                  <w:b/>
                  <w:bCs/>
                  <w:caps/>
                  <w:color w:val="0070C0"/>
                  <w:kern w:val="2"/>
                  <w:shd w:val="clear" w:color="auto" w:fill="FFFFFF"/>
                  <w:lang w:eastAsia="hi-IN" w:bidi="hi-IN"/>
                </w:rPr>
                <w:t>КОНЦЕРТНЫЙ ЗАЛ "БОРОДИНО-ХОЛЛ"</w:t>
              </w:r>
            </w:hyperlink>
          </w:p>
          <w:p w:rsidR="00461B6B" w:rsidRPr="00461B6B" w:rsidRDefault="00461B6B" w:rsidP="00461B6B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Mangal"/>
                <w:b/>
                <w:caps/>
                <w:color w:val="0070C0"/>
                <w:kern w:val="2"/>
                <w:szCs w:val="24"/>
                <w:lang w:eastAsia="hi-IN" w:bidi="hi-IN"/>
              </w:rPr>
            </w:pPr>
          </w:p>
        </w:tc>
        <w:tc>
          <w:tcPr>
            <w:tcW w:w="21" w:type="dxa"/>
            <w:shd w:val="clear" w:color="auto" w:fill="FFFFFF"/>
            <w:vAlign w:val="center"/>
          </w:tcPr>
          <w:p w:rsidR="00461B6B" w:rsidRPr="00461B6B" w:rsidRDefault="00461B6B" w:rsidP="00461B6B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FF"/>
                <w:kern w:val="1"/>
                <w:sz w:val="28"/>
                <w:szCs w:val="28"/>
                <w:lang w:eastAsia="hi-IN" w:bidi="hi-IN"/>
              </w:rPr>
            </w:pPr>
          </w:p>
        </w:tc>
      </w:tr>
    </w:tbl>
    <w:p w:rsidR="00461B6B" w:rsidRDefault="00461B6B" w:rsidP="00461B6B">
      <w:pPr>
        <w:tabs>
          <w:tab w:val="left" w:pos="3255"/>
        </w:tabs>
        <w:suppressAutoHyphens/>
        <w:spacing w:after="0" w:line="100" w:lineRule="atLeast"/>
        <w:rPr>
          <w:rFonts w:ascii="Arial" w:eastAsia="Times New Roman" w:hAnsi="Arial" w:cs="Arial"/>
          <w:b/>
          <w:color w:val="385623"/>
          <w:kern w:val="1"/>
          <w:szCs w:val="28"/>
          <w:lang w:eastAsia="hi-IN" w:bidi="hi-IN"/>
        </w:rPr>
      </w:pPr>
      <w:r w:rsidRPr="00461B6B">
        <w:rPr>
          <w:rFonts w:ascii="Arial" w:eastAsia="Times New Roman" w:hAnsi="Arial" w:cs="Arial"/>
          <w:b/>
          <w:color w:val="385623"/>
          <w:kern w:val="1"/>
          <w:szCs w:val="28"/>
          <w:lang w:eastAsia="hi-IN" w:bidi="hi-IN"/>
        </w:rPr>
        <w:t xml:space="preserve">    </w:t>
      </w:r>
      <w:hyperlink r:id="rId7" w:history="1">
        <w:r w:rsidRPr="00461B6B">
          <w:rPr>
            <w:rFonts w:ascii="Arial" w:eastAsia="Times New Roman" w:hAnsi="Arial" w:cs="Arial"/>
            <w:color w:val="385623"/>
            <w:kern w:val="1"/>
            <w:szCs w:val="28"/>
            <w:u w:val="single"/>
            <w:lang w:eastAsia="hi-IN" w:bidi="hi-IN"/>
          </w:rPr>
          <w:t>http://kongress.lekpravo.ru</w:t>
        </w:r>
      </w:hyperlink>
    </w:p>
    <w:p w:rsidR="00461B6B" w:rsidRPr="00461B6B" w:rsidRDefault="00461B6B" w:rsidP="00461B6B">
      <w:pPr>
        <w:tabs>
          <w:tab w:val="left" w:pos="3255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color w:val="385623"/>
          <w:kern w:val="1"/>
          <w:szCs w:val="28"/>
          <w:lang w:eastAsia="hi-IN" w:bidi="hi-IN"/>
        </w:rPr>
      </w:pPr>
    </w:p>
    <w:p w:rsidR="00461B6B" w:rsidRPr="00461B6B" w:rsidRDefault="00461B6B" w:rsidP="00461B6B">
      <w:pPr>
        <w:tabs>
          <w:tab w:val="left" w:pos="3255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385623"/>
          <w:kern w:val="1"/>
          <w:szCs w:val="28"/>
          <w:lang w:eastAsia="hi-IN" w:bidi="hi-IN"/>
        </w:rPr>
      </w:pPr>
      <w:r w:rsidRPr="00461B6B">
        <w:rPr>
          <w:rFonts w:ascii="Times New Roman" w:eastAsia="Times New Roman" w:hAnsi="Times New Roman" w:cs="Times New Roman"/>
          <w:b/>
          <w:color w:val="385623"/>
          <w:kern w:val="1"/>
          <w:szCs w:val="28"/>
          <w:lang w:eastAsia="hi-IN" w:bidi="hi-IN"/>
        </w:rPr>
        <w:t>РЕЗОЛЮЦИЯ</w:t>
      </w:r>
      <w:bookmarkStart w:id="0" w:name="_GoBack"/>
      <w:bookmarkEnd w:id="0"/>
    </w:p>
    <w:p w:rsidR="00461B6B" w:rsidRPr="00461B6B" w:rsidRDefault="00461B6B" w:rsidP="00461B6B">
      <w:pPr>
        <w:tabs>
          <w:tab w:val="left" w:pos="3255"/>
        </w:tabs>
        <w:suppressAutoHyphens/>
        <w:spacing w:after="0" w:line="100" w:lineRule="atLeast"/>
        <w:jc w:val="center"/>
        <w:rPr>
          <w:rFonts w:ascii="Arial" w:eastAsia="Times New Roman" w:hAnsi="Arial" w:cs="Arial"/>
          <w:b/>
          <w:color w:val="385623"/>
          <w:kern w:val="1"/>
          <w:szCs w:val="28"/>
          <w:lang w:eastAsia="hi-IN" w:bidi="hi-IN"/>
        </w:rPr>
      </w:pPr>
    </w:p>
    <w:p w:rsidR="00805E57" w:rsidRPr="00461B6B" w:rsidRDefault="00805E57" w:rsidP="00461B6B">
      <w:pPr>
        <w:spacing w:after="0" w:line="240" w:lineRule="auto"/>
        <w:ind w:firstLine="709"/>
        <w:jc w:val="both"/>
        <w:rPr>
          <w:sz w:val="24"/>
          <w:szCs w:val="26"/>
        </w:rPr>
      </w:pPr>
      <w:r w:rsidRPr="00461B6B">
        <w:rPr>
          <w:sz w:val="24"/>
          <w:szCs w:val="26"/>
        </w:rPr>
        <w:t>Конгресс обеспокоен ростом недоступности лекарств и угрозой резкого сокращения доступности из-за войны санкций.</w:t>
      </w:r>
    </w:p>
    <w:p w:rsidR="00D74639" w:rsidRPr="00461B6B" w:rsidRDefault="00805E57" w:rsidP="00461B6B">
      <w:pPr>
        <w:spacing w:after="0" w:line="240" w:lineRule="auto"/>
        <w:ind w:firstLine="709"/>
        <w:jc w:val="both"/>
        <w:rPr>
          <w:sz w:val="24"/>
          <w:szCs w:val="26"/>
        </w:rPr>
      </w:pPr>
      <w:r w:rsidRPr="00461B6B">
        <w:rPr>
          <w:sz w:val="24"/>
          <w:szCs w:val="26"/>
        </w:rPr>
        <w:t>С</w:t>
      </w:r>
      <w:r w:rsidR="00D74639" w:rsidRPr="00461B6B">
        <w:rPr>
          <w:sz w:val="24"/>
          <w:szCs w:val="26"/>
        </w:rPr>
        <w:t xml:space="preserve">оглашаясь с тем, что </w:t>
      </w:r>
      <w:r w:rsidRPr="00461B6B">
        <w:rPr>
          <w:sz w:val="24"/>
          <w:szCs w:val="26"/>
        </w:rPr>
        <w:t xml:space="preserve">в целом </w:t>
      </w:r>
      <w:r w:rsidR="00D74639" w:rsidRPr="00461B6B">
        <w:rPr>
          <w:sz w:val="24"/>
          <w:szCs w:val="26"/>
        </w:rPr>
        <w:t xml:space="preserve">отвечать на санкции необходимо, </w:t>
      </w:r>
      <w:r w:rsidRPr="00461B6B">
        <w:rPr>
          <w:sz w:val="24"/>
          <w:szCs w:val="26"/>
        </w:rPr>
        <w:t xml:space="preserve">Конгресс </w:t>
      </w:r>
      <w:r w:rsidR="00D74639" w:rsidRPr="00461B6B">
        <w:rPr>
          <w:sz w:val="24"/>
          <w:szCs w:val="26"/>
        </w:rPr>
        <w:t xml:space="preserve">призывает органы власти России не поддаваться на санкционные провокации и не применять ответные меры, которые становятся мерами против здоровья собственного народа! Нельзя запрещать обращение лекарств по их национальной принадлежности! </w:t>
      </w:r>
      <w:r w:rsidRPr="00461B6B">
        <w:rPr>
          <w:sz w:val="24"/>
          <w:szCs w:val="26"/>
        </w:rPr>
        <w:t>Соответствующая норма проекта закона не должна быть принят</w:t>
      </w:r>
      <w:r w:rsidR="005D7B70" w:rsidRPr="00461B6B">
        <w:rPr>
          <w:sz w:val="24"/>
          <w:szCs w:val="26"/>
        </w:rPr>
        <w:t>а</w:t>
      </w:r>
      <w:r w:rsidRPr="00461B6B">
        <w:rPr>
          <w:sz w:val="24"/>
          <w:szCs w:val="26"/>
        </w:rPr>
        <w:t xml:space="preserve">! </w:t>
      </w:r>
    </w:p>
    <w:p w:rsidR="00805E57" w:rsidRPr="00461B6B" w:rsidRDefault="00805E57" w:rsidP="00461B6B">
      <w:pPr>
        <w:spacing w:after="0" w:line="240" w:lineRule="auto"/>
        <w:ind w:firstLine="709"/>
        <w:jc w:val="both"/>
        <w:rPr>
          <w:sz w:val="24"/>
          <w:szCs w:val="26"/>
        </w:rPr>
      </w:pPr>
      <w:r w:rsidRPr="00461B6B">
        <w:rPr>
          <w:sz w:val="24"/>
          <w:szCs w:val="26"/>
        </w:rPr>
        <w:t>Безнравственно лишать людей лечения, и даже создавать вероятность этого; нельзя нарушать право граждан на медицинскую помощь и даже жизнь лишением их необходимых лекарств; нельзя доводить людей до смертей, инвалидности и ухудшения здоровья, поскольку это слишком дорого для экономики!</w:t>
      </w:r>
    </w:p>
    <w:p w:rsidR="00D74639" w:rsidRPr="00461B6B" w:rsidRDefault="00D74639" w:rsidP="00461B6B">
      <w:pPr>
        <w:spacing w:after="0" w:line="240" w:lineRule="auto"/>
        <w:ind w:firstLine="709"/>
        <w:jc w:val="both"/>
        <w:rPr>
          <w:sz w:val="24"/>
          <w:szCs w:val="26"/>
        </w:rPr>
      </w:pPr>
      <w:r w:rsidRPr="00461B6B">
        <w:rPr>
          <w:sz w:val="24"/>
          <w:szCs w:val="26"/>
        </w:rPr>
        <w:t>Конгресс отмечает, что доступность необходимых, качественных лекарств системно снижается даже без санкций на фоне действия правила «третий лишний». Из многих регионов поступают жалобы на невозможность получить необходимое лекарство</w:t>
      </w:r>
      <w:r w:rsidR="005D7B70" w:rsidRPr="00461B6B">
        <w:rPr>
          <w:sz w:val="24"/>
          <w:szCs w:val="26"/>
        </w:rPr>
        <w:t xml:space="preserve"> по самым разным причинам</w:t>
      </w:r>
      <w:r w:rsidRPr="00461B6B">
        <w:rPr>
          <w:sz w:val="24"/>
          <w:szCs w:val="26"/>
        </w:rPr>
        <w:t>, на постоянные замены современных лекарств теми, что подешевле</w:t>
      </w:r>
      <w:r w:rsidR="00805E57" w:rsidRPr="00461B6B">
        <w:rPr>
          <w:sz w:val="24"/>
          <w:szCs w:val="26"/>
        </w:rPr>
        <w:t>, но не помогают или имеют множество побочных эффектов.</w:t>
      </w:r>
      <w:r w:rsidR="005D7B70" w:rsidRPr="00461B6B">
        <w:rPr>
          <w:sz w:val="24"/>
          <w:szCs w:val="26"/>
        </w:rPr>
        <w:t xml:space="preserve"> </w:t>
      </w:r>
      <w:r w:rsidRPr="00461B6B">
        <w:rPr>
          <w:sz w:val="24"/>
          <w:szCs w:val="26"/>
        </w:rPr>
        <w:t>При этом на врачей администрации оказывают давление с тем, чтобы дорогостоящие препараты не назначалась.</w:t>
      </w:r>
    </w:p>
    <w:p w:rsidR="00D74639" w:rsidRPr="00461B6B" w:rsidRDefault="00D74639" w:rsidP="00461B6B">
      <w:pPr>
        <w:spacing w:after="0" w:line="240" w:lineRule="auto"/>
        <w:ind w:firstLine="709"/>
        <w:jc w:val="both"/>
        <w:rPr>
          <w:sz w:val="24"/>
          <w:szCs w:val="26"/>
        </w:rPr>
      </w:pPr>
      <w:r w:rsidRPr="00461B6B">
        <w:rPr>
          <w:sz w:val="24"/>
          <w:szCs w:val="26"/>
        </w:rPr>
        <w:t xml:space="preserve">Конгресс по-прежнему считает, что понятие «взаимозаменяемость» должно быть исключено из законодательства хотя бы потому, что не имеется </w:t>
      </w:r>
      <w:r w:rsidR="00805E57" w:rsidRPr="00461B6B">
        <w:rPr>
          <w:sz w:val="24"/>
          <w:szCs w:val="26"/>
        </w:rPr>
        <w:t xml:space="preserve">полноценных </w:t>
      </w:r>
      <w:r w:rsidRPr="00461B6B">
        <w:rPr>
          <w:sz w:val="24"/>
          <w:szCs w:val="26"/>
        </w:rPr>
        <w:t>доказательств такой взаимозаменяемости</w:t>
      </w:r>
      <w:r w:rsidR="005D7B70" w:rsidRPr="00461B6B">
        <w:rPr>
          <w:sz w:val="24"/>
          <w:szCs w:val="26"/>
        </w:rPr>
        <w:t>, и нельзя создавать классификацию, основанную на субъективном мнении экспертов, при наличии объективной классификации по активному веществу (МНН).</w:t>
      </w:r>
      <w:r w:rsidRPr="00461B6B">
        <w:rPr>
          <w:sz w:val="24"/>
          <w:szCs w:val="26"/>
        </w:rPr>
        <w:t xml:space="preserve"> Тот, кто заявляет, что </w:t>
      </w:r>
      <w:r w:rsidR="005D7B70" w:rsidRPr="00461B6B">
        <w:rPr>
          <w:sz w:val="24"/>
          <w:szCs w:val="26"/>
        </w:rPr>
        <w:t xml:space="preserve">одно </w:t>
      </w:r>
      <w:r w:rsidRPr="00461B6B">
        <w:rPr>
          <w:sz w:val="24"/>
          <w:szCs w:val="26"/>
        </w:rPr>
        <w:t>лекарство способно заменить другое</w:t>
      </w:r>
      <w:r w:rsidR="005D7B70" w:rsidRPr="00461B6B">
        <w:rPr>
          <w:sz w:val="24"/>
          <w:szCs w:val="26"/>
        </w:rPr>
        <w:t>,</w:t>
      </w:r>
      <w:r w:rsidRPr="00461B6B">
        <w:rPr>
          <w:sz w:val="24"/>
          <w:szCs w:val="26"/>
        </w:rPr>
        <w:t xml:space="preserve"> должен представить соответствующие доказательства, сопоставимые с результатами клинических исследований, - хотя бы полноценнее пострегистрационные наблюдения.</w:t>
      </w:r>
      <w:r w:rsidR="005D7B70" w:rsidRPr="00461B6B">
        <w:rPr>
          <w:sz w:val="24"/>
          <w:szCs w:val="26"/>
        </w:rPr>
        <w:t xml:space="preserve"> В ситуации, когда врачи и пациенты боятся жаловаться на нежелательные явления, говорить о наличии системы надзора за нежелательными явлениями, невозможно. Отсутствие надзора за нежелательными явлениями делает невозможным признание лекарств взаимозаменяемым или аналогичным. В этой ситуации только врач может определить, что нужно конкретному пациенту.</w:t>
      </w:r>
    </w:p>
    <w:p w:rsidR="00D74639" w:rsidRPr="00461B6B" w:rsidRDefault="00D74639" w:rsidP="00461B6B">
      <w:pPr>
        <w:spacing w:after="0" w:line="240" w:lineRule="auto"/>
        <w:ind w:firstLine="709"/>
        <w:jc w:val="both"/>
        <w:rPr>
          <w:sz w:val="24"/>
          <w:szCs w:val="26"/>
        </w:rPr>
      </w:pPr>
      <w:r w:rsidRPr="00461B6B">
        <w:rPr>
          <w:sz w:val="24"/>
          <w:szCs w:val="26"/>
        </w:rPr>
        <w:t>Конгресс приветствует возбуждение первых уголовных дел в России против чиновников, нарушающих права граждан на лекарства, и отмечает, что это должно стать нормой для профилактики нарушения прав</w:t>
      </w:r>
      <w:r w:rsidR="005D7B70" w:rsidRPr="00461B6B">
        <w:rPr>
          <w:sz w:val="24"/>
          <w:szCs w:val="26"/>
        </w:rPr>
        <w:t>а на медицинскую помощь и жизнь</w:t>
      </w:r>
      <w:r w:rsidRPr="00461B6B">
        <w:rPr>
          <w:sz w:val="24"/>
          <w:szCs w:val="26"/>
        </w:rPr>
        <w:t>.</w:t>
      </w:r>
    </w:p>
    <w:p w:rsidR="005D7B70" w:rsidRPr="00461B6B" w:rsidRDefault="005D7B70" w:rsidP="00461B6B">
      <w:pPr>
        <w:spacing w:after="0" w:line="240" w:lineRule="auto"/>
        <w:ind w:firstLine="709"/>
        <w:jc w:val="both"/>
        <w:rPr>
          <w:sz w:val="24"/>
          <w:szCs w:val="26"/>
        </w:rPr>
      </w:pPr>
      <w:r w:rsidRPr="00461B6B">
        <w:rPr>
          <w:sz w:val="24"/>
          <w:szCs w:val="26"/>
        </w:rPr>
        <w:t xml:space="preserve">Конгресс надеется, что одной из задач вновь сформированного Правительства РФ будет </w:t>
      </w:r>
      <w:r w:rsidR="00461B6B" w:rsidRPr="00461B6B">
        <w:rPr>
          <w:sz w:val="24"/>
          <w:szCs w:val="26"/>
        </w:rPr>
        <w:t>задача по</w:t>
      </w:r>
      <w:r w:rsidRPr="00461B6B">
        <w:rPr>
          <w:sz w:val="24"/>
          <w:szCs w:val="26"/>
        </w:rPr>
        <w:t xml:space="preserve"> созданию полноценной, непротиворечивой системы лекарственного обеспечения, </w:t>
      </w:r>
      <w:r w:rsidR="00461B6B" w:rsidRPr="00461B6B">
        <w:rPr>
          <w:sz w:val="24"/>
          <w:szCs w:val="26"/>
        </w:rPr>
        <w:t>целиком</w:t>
      </w:r>
      <w:r w:rsidRPr="00461B6B">
        <w:rPr>
          <w:sz w:val="24"/>
          <w:szCs w:val="26"/>
        </w:rPr>
        <w:t xml:space="preserve"> реализующей право граждан на медицинскую помощь и охрану здоровья.</w:t>
      </w:r>
    </w:p>
    <w:p w:rsidR="00461B6B" w:rsidRDefault="00461B6B"/>
    <w:sectPr w:rsidR="00461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639"/>
    <w:rsid w:val="000C6839"/>
    <w:rsid w:val="00461B6B"/>
    <w:rsid w:val="005D7B70"/>
    <w:rsid w:val="00805E57"/>
    <w:rsid w:val="00A828D0"/>
    <w:rsid w:val="00CA7F43"/>
    <w:rsid w:val="00D74639"/>
    <w:rsid w:val="00E2154B"/>
    <w:rsid w:val="00E65F75"/>
    <w:rsid w:val="00EC0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B26AB"/>
  <w15:chartTrackingRefBased/>
  <w15:docId w15:val="{A56B63AE-DF3C-4A0B-B29A-AF8AAE93D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46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kongress.lekpravo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itebuilder.1gb.ru/Editor" TargetMode="External"/><Relationship Id="rId5" Type="http://schemas.openxmlformats.org/officeDocument/2006/relationships/hyperlink" Target="http://sitebuilder.1gb.ru/Editor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2018-06-02T18:12:00Z</dcterms:created>
  <dcterms:modified xsi:type="dcterms:W3CDTF">2018-06-02T18:12:00Z</dcterms:modified>
</cp:coreProperties>
</file>