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FBE" w:rsidRPr="00891708" w:rsidRDefault="00DA6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afb"/>
        <w:tblW w:w="100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369"/>
        <w:gridCol w:w="250"/>
      </w:tblGrid>
      <w:tr w:rsidR="00DA6FBE">
        <w:trPr>
          <w:trHeight w:val="1085"/>
        </w:trPr>
        <w:tc>
          <w:tcPr>
            <w:tcW w:w="421" w:type="dxa"/>
            <w:shd w:val="clear" w:color="auto" w:fill="FFFFFF"/>
            <w:vAlign w:val="center"/>
          </w:tcPr>
          <w:p w:rsidR="00DA6FBE" w:rsidRDefault="00DA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c"/>
              <w:tblW w:w="2218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18"/>
            </w:tblGrid>
            <w:tr w:rsidR="00DA6FBE">
              <w:trPr>
                <w:trHeight w:val="46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6FBE" w:rsidRDefault="00DA6FBE">
                  <w:pPr>
                    <w:ind w:left="-136"/>
                  </w:pPr>
                  <w:bookmarkStart w:id="1" w:name="_heading=h.gjdgxs" w:colFirst="0" w:colLast="0"/>
                  <w:bookmarkEnd w:id="1"/>
                </w:p>
              </w:tc>
            </w:tr>
          </w:tbl>
          <w:p w:rsidR="00DA6FBE" w:rsidRDefault="00DA6FBE">
            <w:pPr>
              <w:ind w:left="1"/>
              <w:jc w:val="both"/>
              <w:rPr>
                <w:color w:val="385623"/>
                <w:u w:val="single"/>
              </w:rPr>
            </w:pPr>
          </w:p>
          <w:p w:rsidR="00DA6FBE" w:rsidRDefault="00DA6FBE">
            <w:pPr>
              <w:ind w:left="1"/>
              <w:jc w:val="both"/>
            </w:pPr>
          </w:p>
        </w:tc>
        <w:tc>
          <w:tcPr>
            <w:tcW w:w="9383" w:type="dxa"/>
            <w:shd w:val="clear" w:color="auto" w:fill="FFFFFF"/>
            <w:vAlign w:val="center"/>
          </w:tcPr>
          <w:p w:rsidR="00DA6FBE" w:rsidRDefault="00DA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d"/>
              <w:tblW w:w="96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47"/>
              <w:gridCol w:w="6647"/>
            </w:tblGrid>
            <w:tr w:rsidR="00DA6FBE">
              <w:trPr>
                <w:trHeight w:val="1979"/>
              </w:trPr>
              <w:tc>
                <w:tcPr>
                  <w:tcW w:w="3047" w:type="dxa"/>
                </w:tcPr>
                <w:p w:rsidR="00DA6FBE" w:rsidRDefault="002A2D83">
                  <w:pPr>
                    <w:ind w:left="1"/>
                    <w:jc w:val="both"/>
                    <w:rPr>
                      <w:color w:val="385623"/>
                      <w:u w:val="single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555115" cy="889000"/>
                        <wp:effectExtent l="0" t="0" r="0" b="0"/>
                        <wp:docPr id="5" name="image1.jpg" descr="лого право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лого право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>
                    <w:r>
                      <w:rPr>
                        <w:color w:val="385623"/>
                        <w:u w:val="single"/>
                      </w:rPr>
                      <w:t>http://kongress.lekpravo.ru</w:t>
                    </w:r>
                  </w:hyperlink>
                </w:p>
              </w:tc>
              <w:tc>
                <w:tcPr>
                  <w:tcW w:w="6647" w:type="dxa"/>
                </w:tcPr>
                <w:p w:rsidR="00DA6FBE" w:rsidRDefault="002A2D83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XI-й ВСЕРОССИЙСКИЙ КОНГРЕСС «ПРАВО НА ЛЕКАРСТВО»</w:t>
                  </w:r>
                </w:p>
                <w:p w:rsidR="00DA6FBE" w:rsidRDefault="002A2D83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06 ноября 2020, БОРОДИНО-ХОЛЛ,</w:t>
                  </w:r>
                </w:p>
                <w:p w:rsidR="00DA6FBE" w:rsidRDefault="002A2D83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smallCaps/>
                      <w:color w:val="0070C0"/>
                      <w:highlight w:val="white"/>
                    </w:rPr>
                    <w:t>АДРЕС: Г. МОСКВА, УЛ. РУСАКОВСКАЯ, ДОМ 13, СТРОЕНИЕ 5, КОНЦЕРТНЫЙ ЗАЛ "БОРОДИНО-ХОЛЛ"</w:t>
                  </w:r>
                </w:p>
              </w:tc>
            </w:tr>
          </w:tbl>
          <w:p w:rsidR="00DA6FBE" w:rsidRDefault="00DA6FBE">
            <w:pPr>
              <w:jc w:val="center"/>
              <w:rPr>
                <w:smallCaps/>
                <w:color w:val="0070C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A6FBE" w:rsidRDefault="00DA6FBE">
            <w:pPr>
              <w:ind w:left="567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A6FBE" w:rsidRDefault="00DA6FBE">
      <w:pPr>
        <w:jc w:val="center"/>
        <w:rPr>
          <w:color w:val="202124"/>
          <w:sz w:val="28"/>
          <w:szCs w:val="28"/>
          <w:highlight w:val="white"/>
        </w:rPr>
      </w:pPr>
    </w:p>
    <w:p w:rsidR="00DA6FBE" w:rsidRDefault="002A2D83">
      <w:pPr>
        <w:jc w:val="center"/>
        <w:rPr>
          <w:b/>
        </w:rPr>
      </w:pPr>
      <w:r>
        <w:rPr>
          <w:b/>
        </w:rPr>
        <w:t>6 ноября 2020 г, Москва.</w:t>
      </w:r>
    </w:p>
    <w:p w:rsidR="00DA6FBE" w:rsidRDefault="00DA6FBE">
      <w:pPr>
        <w:jc w:val="center"/>
        <w:rPr>
          <w:b/>
        </w:rPr>
      </w:pPr>
    </w:p>
    <w:p w:rsidR="00DA6FBE" w:rsidRPr="002C26DB" w:rsidRDefault="002C26DB">
      <w:pPr>
        <w:jc w:val="center"/>
        <w:rPr>
          <w:b/>
          <w:bCs/>
          <w:color w:val="202124"/>
          <w:sz w:val="28"/>
          <w:szCs w:val="28"/>
          <w:highlight w:val="white"/>
        </w:rPr>
      </w:pPr>
      <w:r w:rsidRPr="002C26DB">
        <w:rPr>
          <w:b/>
          <w:bCs/>
          <w:color w:val="202124"/>
          <w:sz w:val="28"/>
          <w:szCs w:val="28"/>
          <w:highlight w:val="white"/>
        </w:rPr>
        <w:t>КРУГЛЫЙ СТОЛ: «ПРОБЛЕМЫ ДОСТУПНОСТИ ИННОВАЦИОННОЙ ТЕРАПИИ ОРФАННЫХ ЗАБОЛЕВАНИЙ»</w:t>
      </w:r>
    </w:p>
    <w:p w:rsidR="00DA6FBE" w:rsidRPr="002C26DB" w:rsidRDefault="00DA6FBE">
      <w:pPr>
        <w:jc w:val="center"/>
        <w:rPr>
          <w:b/>
          <w:bCs/>
        </w:rPr>
      </w:pPr>
    </w:p>
    <w:p w:rsidR="00DA6FBE" w:rsidRDefault="002A2D83">
      <w:pPr>
        <w:jc w:val="center"/>
        <w:rPr>
          <w:b/>
        </w:rPr>
      </w:pPr>
      <w:r>
        <w:rPr>
          <w:b/>
        </w:rPr>
        <w:t xml:space="preserve">Модератор: Член Совета Федерации РФ, Заслуженный врач России </w:t>
      </w:r>
    </w:p>
    <w:p w:rsidR="00DA6FBE" w:rsidRDefault="002A2D83">
      <w:pPr>
        <w:jc w:val="center"/>
        <w:rPr>
          <w:b/>
        </w:rPr>
      </w:pPr>
      <w:r>
        <w:rPr>
          <w:b/>
        </w:rPr>
        <w:t>Круглый Владимир Игоревич</w:t>
      </w:r>
    </w:p>
    <w:p w:rsidR="00DA6FBE" w:rsidRDefault="00DA6FBE">
      <w:pPr>
        <w:jc w:val="center"/>
        <w:rPr>
          <w:b/>
        </w:rPr>
      </w:pPr>
    </w:p>
    <w:p w:rsidR="00DA6FBE" w:rsidRDefault="00DA6FBE">
      <w:pPr>
        <w:jc w:val="center"/>
        <w:rPr>
          <w:b/>
        </w:rPr>
      </w:pPr>
    </w:p>
    <w:p w:rsidR="00DA6FBE" w:rsidRDefault="002A2D83">
      <w:pPr>
        <w:spacing w:after="160"/>
        <w:jc w:val="center"/>
        <w:rPr>
          <w:b/>
        </w:rPr>
      </w:pPr>
      <w:r>
        <w:rPr>
          <w:b/>
        </w:rPr>
        <w:t xml:space="preserve">РЕЗОЛЮЦИЯ </w:t>
      </w:r>
      <w:bookmarkStart w:id="2" w:name="_GoBack"/>
      <w:bookmarkEnd w:id="2"/>
    </w:p>
    <w:p w:rsidR="00DA6FBE" w:rsidRDefault="002A2D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  <w:t>6 ноября 2020 года, в Москве в рамка</w:t>
      </w:r>
      <w:r>
        <w:t>х</w:t>
      </w:r>
      <w:r>
        <w:rPr>
          <w:color w:val="000000"/>
        </w:rPr>
        <w:t xml:space="preserve"> Всероссийского конгресса «Право на лекарство» состоялся круглый стол </w:t>
      </w:r>
      <w:r>
        <w:rPr>
          <w:color w:val="202124"/>
          <w:highlight w:val="white"/>
        </w:rPr>
        <w:t>«Проблемы доступности инновационной терапии орфанных заболеваний»</w:t>
      </w:r>
      <w:r>
        <w:t>. У</w:t>
      </w:r>
      <w:r>
        <w:rPr>
          <w:color w:val="000000"/>
        </w:rPr>
        <w:t xml:space="preserve">частники круглого стола обсудили различные аспекты разработки дополнительного механизма оказания медицинской помощи детям, страдающим тяжелыми </w:t>
      </w:r>
      <w:proofErr w:type="spellStart"/>
      <w:r>
        <w:rPr>
          <w:color w:val="000000"/>
        </w:rPr>
        <w:t>жизнеугрожающими</w:t>
      </w:r>
      <w:proofErr w:type="spellEnd"/>
      <w:r>
        <w:rPr>
          <w:color w:val="000000"/>
        </w:rPr>
        <w:t xml:space="preserve"> и хроническими заболеваниями, в том числе прогрессирующими редкими (</w:t>
      </w:r>
      <w:proofErr w:type="spellStart"/>
      <w:r>
        <w:rPr>
          <w:color w:val="000000"/>
        </w:rPr>
        <w:t>орфанными</w:t>
      </w:r>
      <w:proofErr w:type="spellEnd"/>
      <w:r>
        <w:rPr>
          <w:color w:val="000000"/>
        </w:rPr>
        <w:t xml:space="preserve">) заболеваниями, за счет средств, поступающих в федеральный бюджет в результате повышения налога на доходы физических лиц </w:t>
      </w:r>
      <w:r>
        <w:rPr>
          <w:color w:val="202124"/>
          <w:highlight w:val="white"/>
        </w:rPr>
        <w:t>с доходов более 5 миллионов рублей в год (далее – Фонд)</w:t>
      </w:r>
      <w:r>
        <w:rPr>
          <w:color w:val="000000"/>
        </w:rPr>
        <w:t>. </w:t>
      </w:r>
    </w:p>
    <w:p w:rsidR="00DA6FBE" w:rsidRDefault="00DA6FBE">
      <w:pPr>
        <w:spacing w:after="160"/>
        <w:jc w:val="center"/>
        <w:rPr>
          <w:sz w:val="26"/>
          <w:szCs w:val="26"/>
        </w:rPr>
      </w:pPr>
    </w:p>
    <w:p w:rsidR="00DA6FBE" w:rsidRDefault="002A2D83">
      <w:pPr>
        <w:spacing w:line="276" w:lineRule="auto"/>
        <w:ind w:firstLine="708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Ожидается, что это позволит привлечь дополнительно около 60 млрд. руб. на лекарственные средства, медицинские изделия и средства реабилитации. В утвержденный Минздравом России перечень орфанных заболеваний включено всего 258 нозологий, а по </w:t>
      </w:r>
      <w:hyperlink r:id="rId8">
        <w:r>
          <w:rPr>
            <w:color w:val="202124"/>
            <w:highlight w:val="white"/>
          </w:rPr>
          <w:t>официальной оценке</w:t>
        </w:r>
      </w:hyperlink>
      <w:r>
        <w:rPr>
          <w:color w:val="202124"/>
          <w:highlight w:val="white"/>
        </w:rPr>
        <w:t xml:space="preserve">, ими страдают около 15,8 тысячи россиян. 7,6 тысячи из них — дети. Небольшая часть из них занесены в программу </w:t>
      </w:r>
      <w:proofErr w:type="spellStart"/>
      <w:r>
        <w:rPr>
          <w:color w:val="202124"/>
          <w:highlight w:val="white"/>
        </w:rPr>
        <w:t>высокозатратных</w:t>
      </w:r>
      <w:proofErr w:type="spellEnd"/>
      <w:r>
        <w:rPr>
          <w:color w:val="202124"/>
          <w:highlight w:val="white"/>
        </w:rPr>
        <w:t xml:space="preserve"> нозологий («ВЗН») и финансируются централизованно из федерального бюджета. Еще 17 орфанных заболеваний из Перечня </w:t>
      </w:r>
      <w:proofErr w:type="spellStart"/>
      <w:r>
        <w:rPr>
          <w:color w:val="202124"/>
          <w:highlight w:val="white"/>
        </w:rPr>
        <w:t>жизнеугрожающих</w:t>
      </w:r>
      <w:proofErr w:type="spellEnd"/>
      <w:r>
        <w:rPr>
          <w:color w:val="202124"/>
          <w:highlight w:val="white"/>
        </w:rPr>
        <w:t xml:space="preserve"> и хронических прогрессирующих редких (орфанных) заболеваний, приводящих к сокращению продолжительности жизни граждан или их инвалидности, утвержденного постановлением Правительства РФ от 26 апреля 2012 г. N 403 (“17 орфанных заболеваний”) обеспечиваются за счет региональных бюджетов. Программа ВЗН считается достаточно эффективным инструментом, поскольку в последние годы практически все пациенты получают лечение в полном объеме и в срок.</w:t>
      </w:r>
    </w:p>
    <w:p w:rsidR="00DA6FBE" w:rsidRDefault="00DA6FBE">
      <w:pPr>
        <w:spacing w:line="276" w:lineRule="auto"/>
        <w:ind w:firstLine="708"/>
        <w:jc w:val="both"/>
        <w:rPr>
          <w:color w:val="202124"/>
          <w:highlight w:val="white"/>
        </w:rPr>
      </w:pPr>
    </w:p>
    <w:p w:rsidR="00DA6FBE" w:rsidRDefault="002A2D83">
      <w:pPr>
        <w:spacing w:line="276" w:lineRule="auto"/>
        <w:ind w:firstLine="708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Несмотря на в целом успешную реализацию программы ВЗН, включение в нее новых нозологий происходит относительно медленно, что связано как с отсутствием четких критериев для включения, так и сложностью механизма ее расширения.</w:t>
      </w:r>
    </w:p>
    <w:p w:rsidR="00DA6FBE" w:rsidRDefault="002A2D83">
      <w:pPr>
        <w:spacing w:line="276" w:lineRule="auto"/>
        <w:ind w:firstLine="708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lastRenderedPageBreak/>
        <w:t xml:space="preserve">С региональными программами редких </w:t>
      </w:r>
      <w:proofErr w:type="spellStart"/>
      <w:r>
        <w:rPr>
          <w:color w:val="202124"/>
          <w:highlight w:val="white"/>
        </w:rPr>
        <w:t>жизнеугрожающих</w:t>
      </w:r>
      <w:proofErr w:type="spellEnd"/>
      <w:r>
        <w:rPr>
          <w:color w:val="202124"/>
          <w:highlight w:val="white"/>
        </w:rPr>
        <w:t xml:space="preserve"> заболеваний дело обстоит хуже: уровень обеспеченности пациентов лечением по ним в последние два года не превышает 60% и различается между субъектами РФ. </w:t>
      </w:r>
    </w:p>
    <w:p w:rsidR="00DA6FBE" w:rsidRDefault="002A2D83">
      <w:pPr>
        <w:spacing w:line="276" w:lineRule="auto"/>
        <w:ind w:firstLine="708"/>
        <w:jc w:val="both"/>
      </w:pPr>
      <w:r>
        <w:t>Исходя из вышеизложенного, Фонд может стать основой для федерализации финансирования орфанных заболеваний и реализации других системных решений для внедрения инноваций и персонализированной медицины.</w:t>
      </w:r>
    </w:p>
    <w:p w:rsidR="00DA6FBE" w:rsidRDefault="00DA6FBE">
      <w:pPr>
        <w:jc w:val="both"/>
        <w:rPr>
          <w:color w:val="202124"/>
          <w:highlight w:val="white"/>
        </w:rPr>
      </w:pPr>
    </w:p>
    <w:p w:rsidR="00DA6FBE" w:rsidRDefault="002A2D83">
      <w:pPr>
        <w:ind w:firstLine="438"/>
        <w:jc w:val="both"/>
        <w:rPr>
          <w:highlight w:val="white"/>
        </w:rPr>
      </w:pPr>
      <w:r>
        <w:rPr>
          <w:color w:val="202124"/>
          <w:highlight w:val="white"/>
        </w:rPr>
        <w:t>Участники Круглого ст</w:t>
      </w:r>
      <w:r>
        <w:rPr>
          <w:highlight w:val="white"/>
        </w:rPr>
        <w:t>ола выражают следующую консолидированную позицию и обращаются с предложениями к Государственной Думе, Министерству Здравоохранения Российской Федерации и Министерству промышленности и торговли Российской Федерации:</w:t>
      </w:r>
    </w:p>
    <w:p w:rsidR="00DA6FBE" w:rsidRDefault="00DA6FBE">
      <w:pPr>
        <w:ind w:left="270" w:firstLine="438"/>
        <w:jc w:val="both"/>
        <w:rPr>
          <w:highlight w:val="white"/>
        </w:rPr>
      </w:pP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Разработать прозрачные механизмы финансирования для эффективной работы Фонда;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Разработать механизм покрытия Фондом тех нозологий, которые не входят в программу </w:t>
      </w:r>
      <w:proofErr w:type="gramStart"/>
      <w:r>
        <w:t>ВЗН,  “</w:t>
      </w:r>
      <w:proofErr w:type="gramEnd"/>
      <w:r>
        <w:t>17 орфанных заболеваний” и другие программы льготного лекарственного обеспечения;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>Определить прозрачный механизм формирования списка нозологий, а также правила включения/исключения для данного списка, финансируемых из средств Фонда с указанием частоты пересмотра э</w:t>
      </w:r>
      <w:r>
        <w:rPr>
          <w:color w:val="000000"/>
        </w:rPr>
        <w:t>того списка. Критерии формирования списка нозологий и методов лечения должны быть прозрачными и открыто обсуждаться с общественностью;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FF0000"/>
        </w:rPr>
      </w:pPr>
      <w:r>
        <w:rPr>
          <w:color w:val="000000"/>
        </w:rPr>
        <w:t>Разработать и утвердить (если не сущ</w:t>
      </w:r>
      <w:r>
        <w:t xml:space="preserve">ествует) клинические рекомендации и стандарты по всем, вошедшим в программу нозологиям в течение 2021-2022 </w:t>
      </w:r>
      <w:proofErr w:type="spellStart"/>
      <w:r>
        <w:t>г.г</w:t>
      </w:r>
      <w:proofErr w:type="spellEnd"/>
      <w:r>
        <w:t>);</w:t>
      </w:r>
    </w:p>
    <w:p w:rsidR="00DA6FBE" w:rsidRDefault="002A2D83">
      <w:pPr>
        <w:numPr>
          <w:ilvl w:val="0"/>
          <w:numId w:val="1"/>
        </w:numPr>
        <w:rPr>
          <w:color w:val="FF0000"/>
        </w:rPr>
      </w:pPr>
      <w:r>
        <w:t>Дать определение и закрепить в федеральном законодательстве понятие «инновационный лекарственный препарат». Разработать критерии оценки при включении в перечни и программы льготного лекарственного обеспечения;</w:t>
      </w:r>
    </w:p>
    <w:p w:rsidR="00DA6FBE" w:rsidRDefault="002A2D83">
      <w:pPr>
        <w:numPr>
          <w:ilvl w:val="0"/>
          <w:numId w:val="1"/>
        </w:numPr>
        <w:rPr>
          <w:color w:val="FF0000"/>
        </w:rPr>
      </w:pPr>
      <w:r>
        <w:t xml:space="preserve">Определить механизм формирования и обновления перечня лекарственных препаратов с целью обеспечения пациентов, страдающих заболеваниями из списка, лекарственное обеспечение которого планируется к финансированию из средств Фонда;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>О</w:t>
      </w:r>
      <w:r>
        <w:rPr>
          <w:color w:val="000000"/>
        </w:rPr>
        <w:t xml:space="preserve">беспечить приоритетное включение инновационных лекарственных препаратов для патогенетического лечения </w:t>
      </w:r>
      <w:proofErr w:type="spellStart"/>
      <w:r>
        <w:rPr>
          <w:color w:val="000000"/>
        </w:rPr>
        <w:t>жизнеугрожающих</w:t>
      </w:r>
      <w:proofErr w:type="spellEnd"/>
      <w:r>
        <w:rPr>
          <w:color w:val="000000"/>
        </w:rPr>
        <w:t xml:space="preserve"> и хронических прогрессирующих редких (орфанных)заболеваний;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rPr>
          <w:color w:val="000000"/>
        </w:rPr>
        <w:t xml:space="preserve">Разработать и внедрить регистры пациентов с </w:t>
      </w:r>
      <w:proofErr w:type="spellStart"/>
      <w:r>
        <w:rPr>
          <w:color w:val="000000"/>
        </w:rPr>
        <w:t>орфаннымм</w:t>
      </w:r>
      <w:proofErr w:type="spellEnd"/>
      <w:r>
        <w:rPr>
          <w:color w:val="000000"/>
        </w:rPr>
        <w:t xml:space="preserve"> за</w:t>
      </w:r>
      <w:r>
        <w:t>болеваниями</w:t>
      </w:r>
      <w:r>
        <w:rPr>
          <w:color w:val="000000"/>
        </w:rPr>
        <w:t xml:space="preserve"> при поддержке экспертного сообщества;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rPr>
          <w:color w:val="000000"/>
        </w:rPr>
        <w:t>Разработать механизм лекарственного обеспечения пациентов, страдающих редкими (</w:t>
      </w:r>
      <w:proofErr w:type="spellStart"/>
      <w:r>
        <w:rPr>
          <w:color w:val="000000"/>
        </w:rPr>
        <w:t>орфанными</w:t>
      </w:r>
      <w:proofErr w:type="spellEnd"/>
      <w:r>
        <w:rPr>
          <w:color w:val="000000"/>
        </w:rPr>
        <w:t>) заболеваниями, который не связан с присвоением статуса инвалидности;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rPr>
          <w:color w:val="000000"/>
        </w:rPr>
        <w:t>Определить формат и источники финансирования для лекарственного обеспечения пациентов, достигших 18 лет, которые ранее получали лекарственное обеспечение за счет средств Фонда, гарантировать преемственность лечения;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>Определить механизм и критерии для последующего перехода нозологий из списка нозологий, покрываемых за счет средств Фонда, в иные федеральные программы, включая ВЗН;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rPr>
          <w:color w:val="000000"/>
        </w:rPr>
        <w:t>Определить порядок организации обеспечения зарегистрированными и незарегистрированными лекарственными средствами в рамках указанного Фонда. При этом при отсутствии регистрации лекарственных средств в Российской Федерации рекомендуется рассматривать, в первую очередь, препараты, зарегистрированные на территориях с достаточно сильной регуляторной системой (EMA, FDA) и одновременно вести переговоры с компаниями-производителями о регистрации препаратов и (при возможности) частичной или полной локализации на территории РФ;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lastRenderedPageBreak/>
        <w:t xml:space="preserve">Предусмотреть финансирование программы ранней диагностики и скрининга для своевременного выявления редких (орфанных) и </w:t>
      </w:r>
      <w:proofErr w:type="spellStart"/>
      <w:r>
        <w:t>жизнеугрожающих</w:t>
      </w:r>
      <w:proofErr w:type="spellEnd"/>
      <w:r>
        <w:t xml:space="preserve"> заболеваний;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FF0000"/>
        </w:rPr>
      </w:pPr>
      <w:r>
        <w:t xml:space="preserve">Интегрировать в клиническую практику механизмы дистанционной выписки электронных рецептов и дистанционного консультирования; 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Внедрить систему доставки амбулаторных </w:t>
      </w:r>
      <w:proofErr w:type="gramStart"/>
      <w:r>
        <w:t>рецептурных  препаратов</w:t>
      </w:r>
      <w:proofErr w:type="gramEnd"/>
      <w:r>
        <w:t xml:space="preserve"> для пациентов на дом;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Предусмотреть возможность реализации инновационных контрактов (напр. разделение рисков); </w:t>
      </w:r>
    </w:p>
    <w:p w:rsidR="00DA6FBE" w:rsidRDefault="002A2D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Разработать механизм быстрого получения необходимого лечения для вновь выявленных (в течение календарного года) пациентов с заболеваниями, при которых предполагается реализация лекарственного обеспечения в рамках Фонда посредством централизованной закупки для большой популяции пациентов заранее в плановом порядке. </w:t>
      </w:r>
    </w:p>
    <w:p w:rsidR="00DA6FBE" w:rsidRDefault="00DA6FBE">
      <w:pPr>
        <w:pBdr>
          <w:top w:val="nil"/>
          <w:left w:val="nil"/>
          <w:bottom w:val="nil"/>
          <w:right w:val="nil"/>
          <w:between w:val="nil"/>
        </w:pBdr>
      </w:pPr>
    </w:p>
    <w:p w:rsidR="00DA6FBE" w:rsidRDefault="00DA6FBE">
      <w:pPr>
        <w:ind w:left="270" w:hanging="270"/>
      </w:pPr>
    </w:p>
    <w:p w:rsidR="00DA6FBE" w:rsidRDefault="00DA6FBE">
      <w:pPr>
        <w:ind w:left="270" w:hanging="270"/>
      </w:pPr>
    </w:p>
    <w:p w:rsidR="00DA6FBE" w:rsidRDefault="00DA6FBE">
      <w:pPr>
        <w:ind w:left="270" w:hanging="270"/>
      </w:pPr>
    </w:p>
    <w:sectPr w:rsidR="00DA6FBE">
      <w:pgSz w:w="11900" w:h="16840"/>
      <w:pgMar w:top="1134" w:right="850" w:bottom="1134" w:left="17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774A6"/>
    <w:multiLevelType w:val="multilevel"/>
    <w:tmpl w:val="99FE0E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BE"/>
    <w:rsid w:val="002A2D83"/>
    <w:rsid w:val="002C26DB"/>
    <w:rsid w:val="00891708"/>
    <w:rsid w:val="00AA1B1B"/>
    <w:rsid w:val="00D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6CA"/>
  <w15:docId w15:val="{E089EFBC-C09F-4322-8E97-8922B17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16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34F7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34F78"/>
    <w:rPr>
      <w:b/>
      <w:bCs/>
    </w:rPr>
  </w:style>
  <w:style w:type="character" w:styleId="a6">
    <w:name w:val="Hyperlink"/>
    <w:rsid w:val="00434F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5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12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123C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12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123C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0D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0DB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97A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7A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7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7A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7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74876"/>
    <w:pPr>
      <w:spacing w:before="100" w:beforeAutospacing="1" w:after="100" w:afterAutospacing="1"/>
    </w:pPr>
    <w:rPr>
      <w:lang w:val="en-US" w:eastAsia="en-US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rPr>
      <w:sz w:val="22"/>
      <w:szCs w:val="22"/>
    </w:rPr>
    <w:tblPr>
      <w:tblStyleRowBandSize w:val="1"/>
      <w:tblStyleColBandSize w:val="1"/>
    </w:tblPr>
  </w:style>
  <w:style w:type="table" w:customStyle="1" w:styleId="af8">
    <w:basedOn w:val="a1"/>
    <w:rPr>
      <w:sz w:val="22"/>
      <w:szCs w:val="22"/>
    </w:rPr>
    <w:tblPr>
      <w:tblStyleRowBandSize w:val="1"/>
      <w:tblStyleColBandSize w:val="1"/>
    </w:tblPr>
  </w:style>
  <w:style w:type="table" w:customStyle="1" w:styleId="af9">
    <w:basedOn w:val="a1"/>
    <w:rPr>
      <w:sz w:val="22"/>
      <w:szCs w:val="22"/>
    </w:rPr>
    <w:tblPr>
      <w:tblStyleRowBandSize w:val="1"/>
      <w:tblStyleColBandSize w:val="1"/>
    </w:tblPr>
  </w:style>
  <w:style w:type="table" w:customStyle="1" w:styleId="afa">
    <w:basedOn w:val="a1"/>
    <w:rPr>
      <w:sz w:val="22"/>
      <w:szCs w:val="22"/>
    </w:rPr>
    <w:tblPr>
      <w:tblStyleRowBandSize w:val="1"/>
      <w:tblStyleColBandSize w:val="1"/>
    </w:tblPr>
  </w:style>
  <w:style w:type="table" w:customStyle="1" w:styleId="afb">
    <w:basedOn w:val="a1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7866185" TargetMode="External"/><Relationship Id="rId3" Type="http://schemas.openxmlformats.org/officeDocument/2006/relationships/styles" Target="styles.xml"/><Relationship Id="rId7" Type="http://schemas.openxmlformats.org/officeDocument/2006/relationships/hyperlink" Target="http://kongress.lek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BbE533l+7ApLrjHX0BJXOEV3A==">AMUW2mUwqarW3aStjGyDypBKIWkYIWZCtHnyKFvvHiS+rz0su8RqeTXANwtr2YN0BhKhgIzRXyHES0O+GHafe8kUNx7vD1vPmG+hGWPFTuNfcweoszx8y54zk9a/T00ejUni8k1i9PtG1GYRgurk0J64IO14+zPSf/n8SpvdxfZme14kIKHcksVOlDK62jKLJ/V1KajaBMDjzlq9zGbzc8sxdujmag4Sa6fGJclxRWG3hZgHUYmuNmobQC69+by6bRtn1MRtXElJa0VqMN5TLoeo7Ctz2/omOtk2hqrq9ugJ9EAOVyrb0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Саверский</dc:creator>
  <cp:lastModifiedBy>Александр Саверский</cp:lastModifiedBy>
  <cp:revision>2</cp:revision>
  <dcterms:created xsi:type="dcterms:W3CDTF">2021-01-01T17:49:00Z</dcterms:created>
  <dcterms:modified xsi:type="dcterms:W3CDTF">2021-01-01T17:49:00Z</dcterms:modified>
</cp:coreProperties>
</file>