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40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580"/>
        <w:gridCol w:w="35"/>
      </w:tblGrid>
      <w:tr w:rsidR="00434F78" w:rsidRPr="004C35BD" w:rsidTr="00334DBF">
        <w:trPr>
          <w:trHeight w:val="1085"/>
        </w:trPr>
        <w:tc>
          <w:tcPr>
            <w:tcW w:w="425" w:type="dxa"/>
            <w:shd w:val="clear" w:color="auto" w:fill="FFFFFF"/>
            <w:vAlign w:val="center"/>
          </w:tcPr>
          <w:tbl>
            <w:tblPr>
              <w:tblW w:w="2218" w:type="dxa"/>
              <w:tblInd w:w="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18"/>
            </w:tblGrid>
            <w:tr w:rsidR="00434F78" w:rsidRPr="00E7591B" w:rsidTr="00334DBF">
              <w:trPr>
                <w:trHeight w:val="46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34F78" w:rsidRPr="00E7591B" w:rsidRDefault="00434F78" w:rsidP="00334DBF">
                  <w:pPr>
                    <w:snapToGrid w:val="0"/>
                    <w:spacing w:line="240" w:lineRule="auto"/>
                    <w:ind w:left="-136"/>
                  </w:pPr>
                </w:p>
              </w:tc>
            </w:tr>
          </w:tbl>
          <w:p w:rsidR="00434F78" w:rsidRDefault="00434F78" w:rsidP="00334DBF">
            <w:pPr>
              <w:snapToGrid w:val="0"/>
              <w:spacing w:line="240" w:lineRule="auto"/>
              <w:ind w:left="1"/>
              <w:jc w:val="both"/>
              <w:rPr>
                <w:rStyle w:val="a5"/>
                <w:rFonts w:eastAsia="Times New Roman" w:cs="Arial"/>
                <w:color w:val="385623"/>
                <w:szCs w:val="28"/>
                <w:lang w:val="ru-RU" w:eastAsia="hi-IN" w:bidi="hi-IN"/>
              </w:rPr>
            </w:pPr>
          </w:p>
          <w:p w:rsidR="00434F78" w:rsidRPr="00792CE8" w:rsidRDefault="00434F78" w:rsidP="00334DBF">
            <w:pPr>
              <w:snapToGrid w:val="0"/>
              <w:spacing w:line="240" w:lineRule="auto"/>
              <w:ind w:left="1"/>
              <w:jc w:val="both"/>
            </w:pPr>
          </w:p>
        </w:tc>
        <w:tc>
          <w:tcPr>
            <w:tcW w:w="9580" w:type="dxa"/>
            <w:shd w:val="clear" w:color="auto" w:fill="FFFFFF"/>
            <w:vAlign w:val="center"/>
          </w:tcPr>
          <w:tbl>
            <w:tblPr>
              <w:tblStyle w:val="a3"/>
              <w:tblW w:w="969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7"/>
              <w:gridCol w:w="6647"/>
            </w:tblGrid>
            <w:tr w:rsidR="00434F78" w:rsidRPr="004C35BD" w:rsidTr="00334DBF">
              <w:trPr>
                <w:trHeight w:val="1979"/>
              </w:trPr>
              <w:tc>
                <w:tcPr>
                  <w:tcW w:w="3047" w:type="dxa"/>
                </w:tcPr>
                <w:p w:rsidR="00434F78" w:rsidRPr="007832DC" w:rsidRDefault="00434F78" w:rsidP="007832DC">
                  <w:pPr>
                    <w:snapToGrid w:val="0"/>
                    <w:ind w:left="1"/>
                    <w:jc w:val="both"/>
                    <w:rPr>
                      <w:rFonts w:eastAsia="Times New Roman" w:cs="Arial"/>
                      <w:color w:val="385623"/>
                      <w:szCs w:val="28"/>
                      <w:u w:val="single"/>
                      <w:lang w:val="ru-RU" w:eastAsia="hi-IN" w:bidi="hi-IN"/>
                    </w:rPr>
                  </w:pPr>
                  <w:r w:rsidRPr="00CC075F">
                    <w:rPr>
                      <w:noProof/>
                    </w:rPr>
                    <w:drawing>
                      <wp:inline distT="0" distB="0" distL="0" distR="0" wp14:anchorId="3ED9611A" wp14:editId="346EF46B">
                        <wp:extent cx="1555115" cy="889000"/>
                        <wp:effectExtent l="0" t="0" r="0" b="0"/>
                        <wp:docPr id="2" name="Рисунок 2" descr="лого право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лого право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115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6" w:history="1">
                    <w:r w:rsidRPr="007835C0">
                      <w:rPr>
                        <w:rStyle w:val="a5"/>
                        <w:rFonts w:eastAsia="Times New Roman" w:cs="Arial"/>
                        <w:color w:val="385623"/>
                        <w:szCs w:val="28"/>
                        <w:lang w:val="ru-RU" w:eastAsia="hi-IN" w:bidi="hi-IN"/>
                      </w:rPr>
                      <w:t>http://kongress.lekpravo.ru</w:t>
                    </w:r>
                  </w:hyperlink>
                </w:p>
              </w:tc>
              <w:tc>
                <w:tcPr>
                  <w:tcW w:w="6647" w:type="dxa"/>
                </w:tcPr>
                <w:p w:rsidR="00434F78" w:rsidRPr="00DC0399" w:rsidRDefault="00434F78" w:rsidP="00334DBF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>
                    <w:rPr>
                      <w:b/>
                      <w:color w:val="0070C0"/>
                    </w:rPr>
                    <w:t>XI</w:t>
                  </w:r>
                  <w:r w:rsidR="005B1453">
                    <w:rPr>
                      <w:b/>
                      <w:color w:val="0070C0"/>
                    </w:rPr>
                    <w:t>I</w:t>
                  </w:r>
                  <w:r w:rsidRPr="00434F78">
                    <w:rPr>
                      <w:b/>
                      <w:color w:val="0070C0"/>
                      <w:lang w:val="ru-RU"/>
                    </w:rPr>
                    <w:t>-</w:t>
                  </w:r>
                  <w:r>
                    <w:rPr>
                      <w:b/>
                      <w:color w:val="0070C0"/>
                      <w:lang w:val="ru-RU"/>
                    </w:rPr>
                    <w:t>й</w:t>
                  </w:r>
                  <w:r w:rsidRPr="00DC0399">
                    <w:rPr>
                      <w:b/>
                      <w:color w:val="0070C0"/>
                      <w:lang w:val="ru-RU"/>
                    </w:rPr>
                    <w:t xml:space="preserve"> ВСЕРОССИЙСКИЙ КОНГРЕСС «ПРАВО НА ЛЕКАРСТВО»</w:t>
                  </w:r>
                </w:p>
                <w:p w:rsidR="00434F78" w:rsidRPr="00DC0399" w:rsidRDefault="005B1453" w:rsidP="00334DBF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</w:pPr>
                  <w:r w:rsidRPr="004C35BD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7</w:t>
                  </w:r>
                  <w:r w:rsidR="00434F78"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мая</w:t>
                  </w:r>
                  <w:r w:rsidR="00434F78"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 xml:space="preserve"> 20</w:t>
                  </w:r>
                  <w:r w:rsidR="00D61DF0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1</w:t>
                  </w:r>
                  <w:r w:rsidR="00434F78" w:rsidRPr="00DC0399">
                    <w:rPr>
                      <w:rFonts w:ascii="Times New Roman" w:hAnsi="Times New Roman" w:cs="Times New Roman"/>
                      <w:b/>
                      <w:color w:val="0070C0"/>
                      <w:lang w:val="ru-RU"/>
                    </w:rPr>
                    <w:t>, БОРОДИНО-ХОЛЛ,</w:t>
                  </w:r>
                </w:p>
                <w:p w:rsidR="00434F78" w:rsidRDefault="00434F78" w:rsidP="00334DBF">
                  <w:pPr>
                    <w:snapToGrid w:val="0"/>
                    <w:jc w:val="center"/>
                    <w:rPr>
                      <w:b/>
                      <w:color w:val="0070C0"/>
                      <w:lang w:val="ru-RU"/>
                    </w:rPr>
                  </w:pPr>
                  <w:r w:rsidRPr="00DC0399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Адрес: г. Москва,</w:t>
                  </w:r>
                  <w:r w:rsidRPr="00B41B5A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ул. Русаковская, дом 13, строение 5,</w:t>
                  </w:r>
                  <w:r w:rsidRPr="00B41B5A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</w:rPr>
                    <w:t> </w:t>
                  </w:r>
                  <w:r w:rsidRPr="00DC0399">
                    <w:rPr>
                      <w:rStyle w:val="a4"/>
                      <w:rFonts w:ascii="Times New Roman" w:hAnsi="Times New Roman" w:cs="Times New Roman"/>
                      <w:caps/>
                      <w:color w:val="0070C0"/>
                      <w:kern w:val="2"/>
                      <w:shd w:val="clear" w:color="auto" w:fill="FFFFFF"/>
                      <w:lang w:val="ru-RU"/>
                    </w:rPr>
                    <w:t>КОНЦЕРТНЫЙ ЗАЛ "БОРОДИНО-ХОЛЛ"</w:t>
                  </w:r>
                </w:p>
              </w:tc>
            </w:tr>
          </w:tbl>
          <w:p w:rsidR="00434F78" w:rsidRPr="00C06F2E" w:rsidRDefault="00434F78" w:rsidP="00334DBF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aps/>
                <w:color w:val="0070C0"/>
                <w:kern w:val="2"/>
                <w:lang w:val="ru-RU"/>
              </w:rPr>
            </w:pPr>
          </w:p>
        </w:tc>
        <w:tc>
          <w:tcPr>
            <w:tcW w:w="35" w:type="dxa"/>
            <w:shd w:val="clear" w:color="auto" w:fill="FFFFFF"/>
            <w:vAlign w:val="center"/>
          </w:tcPr>
          <w:p w:rsidR="00434F78" w:rsidRPr="00DC0399" w:rsidRDefault="00434F78" w:rsidP="00334DBF">
            <w:pPr>
              <w:snapToGrid w:val="0"/>
              <w:spacing w:line="240" w:lineRule="auto"/>
              <w:ind w:left="567"/>
              <w:jc w:val="both"/>
              <w:rPr>
                <w:rFonts w:eastAsia="Times New Roman" w:cs="Arial"/>
                <w:b/>
                <w:color w:val="0000FF"/>
                <w:sz w:val="28"/>
                <w:szCs w:val="28"/>
                <w:lang w:val="ru-RU"/>
              </w:rPr>
            </w:pPr>
          </w:p>
        </w:tc>
      </w:tr>
    </w:tbl>
    <w:p w:rsidR="00EE3225" w:rsidRDefault="00434F78" w:rsidP="00434F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EE3225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РЕЗОЛЮЦИЯ </w:t>
      </w:r>
    </w:p>
    <w:p w:rsidR="00EE3225" w:rsidRDefault="00434F78" w:rsidP="005B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>Участники Х</w:t>
      </w:r>
      <w:r w:rsidRPr="00EE3225">
        <w:rPr>
          <w:rFonts w:ascii="Times New Roman" w:hAnsi="Times New Roman" w:cs="Times New Roman"/>
          <w:sz w:val="28"/>
          <w:szCs w:val="28"/>
        </w:rPr>
        <w:t>I</w:t>
      </w:r>
      <w:r w:rsidR="005B1453" w:rsidRPr="00EE3225">
        <w:rPr>
          <w:rFonts w:ascii="Times New Roman" w:hAnsi="Times New Roman" w:cs="Times New Roman"/>
          <w:sz w:val="28"/>
          <w:szCs w:val="28"/>
        </w:rPr>
        <w:t>I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-го Всероссийского конгресса «Право на лекарство» </w:t>
      </w:r>
      <w:r w:rsidR="005B1453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отмечают, что меры, предпринимаемые государством в сфере лекарственного обеспечения, не носят </w:t>
      </w:r>
      <w:r w:rsidR="00EE3225">
        <w:rPr>
          <w:rFonts w:ascii="Times New Roman" w:hAnsi="Times New Roman" w:cs="Times New Roman"/>
          <w:sz w:val="28"/>
          <w:szCs w:val="28"/>
          <w:lang w:val="ru-RU"/>
        </w:rPr>
        <w:t xml:space="preserve">системного </w:t>
      </w:r>
      <w:r w:rsidR="005B1453" w:rsidRPr="00EE3225">
        <w:rPr>
          <w:rFonts w:ascii="Times New Roman" w:hAnsi="Times New Roman" w:cs="Times New Roman"/>
          <w:sz w:val="28"/>
          <w:szCs w:val="28"/>
          <w:lang w:val="ru-RU"/>
        </w:rPr>
        <w:t>характера</w:t>
      </w:r>
      <w:r w:rsidR="00EE3225">
        <w:rPr>
          <w:rFonts w:ascii="Times New Roman" w:hAnsi="Times New Roman" w:cs="Times New Roman"/>
          <w:sz w:val="28"/>
          <w:szCs w:val="28"/>
          <w:lang w:val="ru-RU"/>
        </w:rPr>
        <w:t>, а потому не дают</w:t>
      </w:r>
      <w:r w:rsidR="00110116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 кардинального улучшения</w:t>
      </w:r>
      <w:r w:rsidR="005B1453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10116" w:rsidRPr="00EE3225" w:rsidRDefault="005B1453" w:rsidP="00EE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>Стратегия лекарственного обеспечения не выполнена и не выполняется.</w:t>
      </w:r>
      <w:r w:rsidR="00EE322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110116" w:rsidRPr="00EE3225">
        <w:rPr>
          <w:rFonts w:ascii="Times New Roman" w:hAnsi="Times New Roman" w:cs="Times New Roman"/>
          <w:sz w:val="28"/>
          <w:szCs w:val="28"/>
          <w:lang w:val="ru-RU"/>
        </w:rPr>
        <w:t>истема лекарственного обеспечения, как таковая, отсутствует. Каждый субъект РФ имеет свою систему лекарственного обеспечения, и они содержат разные перечни</w:t>
      </w:r>
      <w:r w:rsidR="00EE3225">
        <w:rPr>
          <w:rFonts w:ascii="Times New Roman" w:hAnsi="Times New Roman" w:cs="Times New Roman"/>
          <w:sz w:val="28"/>
          <w:szCs w:val="28"/>
          <w:lang w:val="ru-RU"/>
        </w:rPr>
        <w:t xml:space="preserve"> лекарств</w:t>
      </w:r>
      <w:r w:rsidR="00110116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, разные условия </w:t>
      </w:r>
      <w:r w:rsidR="00EE3225">
        <w:rPr>
          <w:rFonts w:ascii="Times New Roman" w:hAnsi="Times New Roman" w:cs="Times New Roman"/>
          <w:sz w:val="28"/>
          <w:szCs w:val="28"/>
          <w:lang w:val="ru-RU"/>
        </w:rPr>
        <w:t xml:space="preserve">их </w:t>
      </w:r>
      <w:r w:rsidR="00110116" w:rsidRPr="00EE3225">
        <w:rPr>
          <w:rFonts w:ascii="Times New Roman" w:hAnsi="Times New Roman" w:cs="Times New Roman"/>
          <w:sz w:val="28"/>
          <w:szCs w:val="28"/>
          <w:lang w:val="ru-RU"/>
        </w:rPr>
        <w:t>доступности, разные цены на лекарства.</w:t>
      </w:r>
    </w:p>
    <w:p w:rsidR="00110116" w:rsidRPr="00EE3225" w:rsidRDefault="00110116" w:rsidP="005B1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>Отдельные государственные программы продолжают политику фрагментарного регулирования, которое порождает дублирование льгот, плохую управляемость</w:t>
      </w:r>
      <w:r w:rsidR="00EE3225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обеспечением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E3225">
        <w:rPr>
          <w:rFonts w:ascii="Times New Roman" w:hAnsi="Times New Roman" w:cs="Times New Roman"/>
          <w:sz w:val="28"/>
          <w:szCs w:val="28"/>
          <w:lang w:val="ru-RU"/>
        </w:rPr>
        <w:t>зарегулированность</w:t>
      </w:r>
      <w:proofErr w:type="spellEnd"/>
      <w:r w:rsidR="00EE3225">
        <w:rPr>
          <w:rFonts w:ascii="Times New Roman" w:hAnsi="Times New Roman" w:cs="Times New Roman"/>
          <w:sz w:val="28"/>
          <w:szCs w:val="28"/>
          <w:lang w:val="ru-RU"/>
        </w:rPr>
        <w:t xml:space="preserve"> и даже манипулирование перечнями, льготами и т.п.</w:t>
      </w:r>
    </w:p>
    <w:p w:rsidR="00EE3225" w:rsidRDefault="00110116" w:rsidP="00EE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>Лишение врачей возможности подбирать необходимое лекарство порождает не только недоверие к врачу и к системе лекарственного обеспечения, но и причиняет вред здоровью пациентов, увеличивая и экономический ущерб.</w:t>
      </w:r>
      <w:r w:rsidR="00EE3225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E3225" w:rsidRPr="00EE3225" w:rsidRDefault="00EE3225" w:rsidP="00EE32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рынком лекарств 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>посредством конкуренции ставит пациентов, врачей и государство перед фактом исчезновения десятков лекарств, когда повлиять на процесс уже невозможно.</w:t>
      </w:r>
    </w:p>
    <w:p w:rsidR="00110116" w:rsidRPr="00EE3225" w:rsidRDefault="00110116" w:rsidP="0011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>Конгресс</w:t>
      </w:r>
      <w:r w:rsidR="00EE32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>полага</w:t>
      </w:r>
      <w:r w:rsidR="00EE3225">
        <w:rPr>
          <w:rFonts w:ascii="Times New Roman" w:hAnsi="Times New Roman" w:cs="Times New Roman"/>
          <w:sz w:val="28"/>
          <w:szCs w:val="28"/>
          <w:lang w:val="ru-RU"/>
        </w:rPr>
        <w:t>ет,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 что эти вопросы должны разрешит</w:t>
      </w:r>
      <w:r w:rsidR="00EE3225" w:rsidRPr="00EE3225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ся созданием единой системы лекарственного обеспечения по стандартам и клиническим рекомендациям, вместо 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 xml:space="preserve">обеспечения по 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>льгот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>ам в амбулаторном звене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>. И она должна быть описана в законе о лекарственном обеспечении.</w:t>
      </w:r>
    </w:p>
    <w:p w:rsidR="00EE3225" w:rsidRPr="00EE3225" w:rsidRDefault="00EE3225" w:rsidP="0011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>Система обеспечения должна отталкиваться от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 xml:space="preserve"> изучения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 потребностей пациентов, планирования 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 xml:space="preserve">этих 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>потребностей, заключения контрактов с поставщиками на несколько лет для гарантий того, что необходимое лекарство не исчезнет с рынка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 xml:space="preserve"> и будет доступно</w:t>
      </w:r>
      <w:r w:rsidRPr="00EE32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0116" w:rsidRDefault="00110116" w:rsidP="0011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С экономической точки зрения государству следует шире использовать систему дополнительных налогов на вредные </w:t>
      </w:r>
      <w:r w:rsidR="00EE3225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для здоровья факторы – не только 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E3225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табак и алкоголь, но 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E3225" w:rsidRPr="00EE3225">
        <w:rPr>
          <w:rFonts w:ascii="Times New Roman" w:hAnsi="Times New Roman" w:cs="Times New Roman"/>
          <w:sz w:val="28"/>
          <w:szCs w:val="28"/>
          <w:lang w:val="ru-RU"/>
        </w:rPr>
        <w:t>продукты с повышенным содержанием сахара и соли, насыщенных</w:t>
      </w:r>
      <w:r w:rsidR="00BD34E3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EE3225" w:rsidRPr="00EE3225">
        <w:rPr>
          <w:rFonts w:ascii="Times New Roman" w:hAnsi="Times New Roman" w:cs="Times New Roman"/>
          <w:sz w:val="28"/>
          <w:szCs w:val="28"/>
          <w:lang w:val="ru-RU"/>
        </w:rPr>
        <w:t xml:space="preserve"> отдельных видов вредных жиров, и распределять их в пользу системы укрепления здоровья, включая здравоохранение, медицинскую помощь и лекарственное обеспечение. </w:t>
      </w:r>
    </w:p>
    <w:p w:rsidR="004C35BD" w:rsidRPr="00EE3225" w:rsidRDefault="004C35BD" w:rsidP="001101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C35BD" w:rsidRPr="004C35BD" w:rsidRDefault="004C35BD" w:rsidP="004C35B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35B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Рекомендовать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государству </w:t>
      </w:r>
      <w:r w:rsidRPr="004C35BD">
        <w:rPr>
          <w:rFonts w:ascii="Times New Roman" w:hAnsi="Times New Roman" w:cs="Times New Roman"/>
          <w:sz w:val="28"/>
          <w:szCs w:val="28"/>
          <w:lang w:val="ru-RU"/>
        </w:rPr>
        <w:t xml:space="preserve">рассмотреть возможность внедрения целевой модели финансирования здравоохранения, основанной на более активной акцизной политике товаров, потребление которых негативно сказывается на здоровье граждан, включая: </w:t>
      </w:r>
    </w:p>
    <w:p w:rsidR="004C35BD" w:rsidRPr="004C35BD" w:rsidRDefault="004C35BD" w:rsidP="004C35BD">
      <w:pPr>
        <w:pStyle w:val="a7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4C35BD">
        <w:rPr>
          <w:rFonts w:ascii="Times New Roman" w:hAnsi="Times New Roman" w:cs="Times New Roman"/>
          <w:sz w:val="28"/>
          <w:szCs w:val="28"/>
          <w:lang w:val="ru-RU"/>
        </w:rPr>
        <w:t xml:space="preserve">овышение акцизов на табачную продукцию </w:t>
      </w:r>
    </w:p>
    <w:p w:rsidR="004C35BD" w:rsidRPr="004C35BD" w:rsidRDefault="004C35BD" w:rsidP="004C35BD">
      <w:pPr>
        <w:pStyle w:val="a7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4C35BD">
        <w:rPr>
          <w:rFonts w:ascii="Times New Roman" w:hAnsi="Times New Roman" w:cs="Times New Roman"/>
          <w:sz w:val="28"/>
          <w:szCs w:val="28"/>
          <w:lang w:val="ru-RU"/>
        </w:rPr>
        <w:t xml:space="preserve">скоренное повышение акцизов на алкоголь </w:t>
      </w:r>
    </w:p>
    <w:p w:rsidR="004C35BD" w:rsidRPr="004C35BD" w:rsidRDefault="004C35BD" w:rsidP="004C35BD">
      <w:pPr>
        <w:pStyle w:val="a7"/>
        <w:numPr>
          <w:ilvl w:val="0"/>
          <w:numId w:val="1"/>
        </w:numPr>
        <w:ind w:left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bookmarkStart w:id="0" w:name="_GoBack"/>
      <w:bookmarkEnd w:id="0"/>
      <w:r w:rsidRPr="004C35BD">
        <w:rPr>
          <w:rFonts w:ascii="Times New Roman" w:hAnsi="Times New Roman" w:cs="Times New Roman"/>
          <w:sz w:val="28"/>
          <w:szCs w:val="28"/>
          <w:lang w:val="ru-RU"/>
        </w:rPr>
        <w:t xml:space="preserve">недрение акциза на сахаросодержащие газированные безалкогольные напитки и расширение </w:t>
      </w:r>
      <w:proofErr w:type="spellStart"/>
      <w:r w:rsidRPr="004C35BD">
        <w:rPr>
          <w:rFonts w:ascii="Times New Roman" w:hAnsi="Times New Roman" w:cs="Times New Roman"/>
          <w:sz w:val="28"/>
          <w:szCs w:val="28"/>
          <w:lang w:val="ru-RU"/>
        </w:rPr>
        <w:t>подакцизности</w:t>
      </w:r>
      <w:proofErr w:type="spellEnd"/>
      <w:r w:rsidRPr="004C35BD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остальным «вредным» продуктам и напиткам.</w:t>
      </w:r>
    </w:p>
    <w:p w:rsidR="00DC5ACB" w:rsidRPr="00EE3225" w:rsidRDefault="004C35BD" w:rsidP="004C35BD">
      <w:pPr>
        <w:ind w:firstLine="709"/>
        <w:jc w:val="both"/>
        <w:rPr>
          <w:sz w:val="24"/>
          <w:szCs w:val="24"/>
          <w:lang w:val="ru-RU"/>
        </w:rPr>
      </w:pPr>
      <w:r w:rsidRPr="004C35BD">
        <w:rPr>
          <w:rFonts w:ascii="Times New Roman" w:hAnsi="Times New Roman" w:cs="Times New Roman"/>
          <w:sz w:val="28"/>
          <w:szCs w:val="28"/>
          <w:lang w:val="ru-RU"/>
        </w:rPr>
        <w:t xml:space="preserve">С целевым направлением средств, полученных из данных источников для реализации программ диагностики, лечения и реабилитации социально-значимых заболеваний, являющихся ведущими среди причин смертности и </w:t>
      </w:r>
      <w:proofErr w:type="spellStart"/>
      <w:r w:rsidRPr="004C35BD">
        <w:rPr>
          <w:rFonts w:ascii="Times New Roman" w:hAnsi="Times New Roman" w:cs="Times New Roman"/>
          <w:sz w:val="28"/>
          <w:szCs w:val="28"/>
          <w:lang w:val="ru-RU"/>
        </w:rPr>
        <w:t>инвалидизации</w:t>
      </w:r>
      <w:proofErr w:type="spellEnd"/>
      <w:r w:rsidRPr="004C35BD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Российской Федерации.</w:t>
      </w:r>
    </w:p>
    <w:sectPr w:rsidR="00DC5ACB" w:rsidRPr="00EE3225" w:rsidSect="00EE3225">
      <w:pgSz w:w="11900" w:h="16840"/>
      <w:pgMar w:top="1134" w:right="12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BE1D80"/>
    <w:multiLevelType w:val="hybridMultilevel"/>
    <w:tmpl w:val="EF289A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78"/>
    <w:rsid w:val="00110116"/>
    <w:rsid w:val="001629BE"/>
    <w:rsid w:val="00183A0D"/>
    <w:rsid w:val="00434F78"/>
    <w:rsid w:val="004C35BD"/>
    <w:rsid w:val="00522E31"/>
    <w:rsid w:val="005B1453"/>
    <w:rsid w:val="007832DC"/>
    <w:rsid w:val="009361B8"/>
    <w:rsid w:val="00A60E91"/>
    <w:rsid w:val="00AC1A17"/>
    <w:rsid w:val="00BD34E3"/>
    <w:rsid w:val="00D61DF0"/>
    <w:rsid w:val="00D64E7B"/>
    <w:rsid w:val="00DC1DFD"/>
    <w:rsid w:val="00DC5ACB"/>
    <w:rsid w:val="00E20EBE"/>
    <w:rsid w:val="00EE3225"/>
    <w:rsid w:val="00F12689"/>
    <w:rsid w:val="00F6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6F00E4"/>
  <w15:chartTrackingRefBased/>
  <w15:docId w15:val="{85DE1B29-2022-0D40-8DFA-0D2F6D2B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F78"/>
    <w:pPr>
      <w:spacing w:after="160" w:line="259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F78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34F78"/>
    <w:rPr>
      <w:b/>
      <w:bCs/>
    </w:rPr>
  </w:style>
  <w:style w:type="character" w:styleId="a5">
    <w:name w:val="Hyperlink"/>
    <w:rsid w:val="00434F7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DC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C5ACB"/>
  </w:style>
  <w:style w:type="paragraph" w:styleId="a7">
    <w:name w:val="List Paragraph"/>
    <w:basedOn w:val="a"/>
    <w:uiPriority w:val="34"/>
    <w:qFormat/>
    <w:rsid w:val="004C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gress.lekpra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Саверский</dc:creator>
  <cp:keywords/>
  <dc:description/>
  <cp:lastModifiedBy>Александр Саверский</cp:lastModifiedBy>
  <cp:revision>3</cp:revision>
  <dcterms:created xsi:type="dcterms:W3CDTF">2021-05-25T23:14:00Z</dcterms:created>
  <dcterms:modified xsi:type="dcterms:W3CDTF">2021-07-04T15:36:00Z</dcterms:modified>
</cp:coreProperties>
</file>